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83816">
      <w:pPr>
        <w:jc w:val="center"/>
      </w:pPr>
      <w:r>
        <w:rPr>
          <w:rFonts w:ascii="微软雅黑" w:hAnsi="微软雅黑"/>
          <w:b/>
          <w:sz w:val="44"/>
        </w:rPr>
        <w:t>SQL注入漏洞安全风险评估报告</w:t>
      </w:r>
      <w:r>
        <w:rPr>
          <w:rFonts w:ascii="微软雅黑" w:hAnsi="微软雅黑"/>
          <w:b/>
          <w:sz w:val="44"/>
        </w:rPr>
        <w:br w:type="textWrapping"/>
      </w:r>
    </w:p>
    <w:p w14:paraId="063644D6">
      <w:pPr>
        <w:jc w:val="center"/>
      </w:pPr>
      <w:r>
        <w:rPr>
          <w:rFonts w:ascii="微软雅黑" w:hAnsi="微软雅黑"/>
          <w:sz w:val="18"/>
        </w:rPr>
        <w:t xml:space="preserve">报告生成时间: 2025-10-31    </w:t>
      </w:r>
    </w:p>
    <w:p w14:paraId="2CD1BA28"/>
    <w:p w14:paraId="0F554D32">
      <w:pPr>
        <w:pStyle w:val="3"/>
      </w:pPr>
      <w:r>
        <w:t>1. 漏洞概述</w:t>
      </w:r>
    </w:p>
    <w:p w14:paraId="43A2D6C3">
      <w:pPr>
        <w:pStyle w:val="16"/>
      </w:pPr>
      <w:r>
        <w:t>漏洞类型: SQL注入漏洞（基于时间的盲注）</w:t>
      </w:r>
    </w:p>
    <w:p w14:paraId="31F8F51B">
      <w:pPr>
        <w:pStyle w:val="16"/>
      </w:pPr>
      <w:r>
        <w:t>风险等级: 高危</w:t>
      </w:r>
    </w:p>
    <w:p w14:paraId="2356EA8A">
      <w:pPr>
        <w:pStyle w:val="16"/>
      </w:pPr>
      <w:r>
        <w:t>影响范围: 整个应用系统</w:t>
      </w:r>
    </w:p>
    <w:p w14:paraId="35AF7F86">
      <w:pPr>
        <w:pStyle w:val="16"/>
      </w:pPr>
      <w:r>
        <w:t>发现时间: 2025-10-31 15:44:16</w:t>
      </w:r>
    </w:p>
    <w:p w14:paraId="4633B472">
      <w:pPr>
        <w:pStyle w:val="16"/>
      </w:pPr>
      <w:r>
        <w:t>攻击工具: SQLMap 1.9.5.22</w:t>
      </w:r>
    </w:p>
    <w:p w14:paraId="1E203302">
      <w:pPr>
        <w:pStyle w:val="3"/>
      </w:pPr>
      <w:r>
        <w:t>2. 漏洞详情分析</w:t>
      </w:r>
    </w:p>
    <w:p w14:paraId="6CD43FBC">
      <w:pPr>
        <w:pStyle w:val="4"/>
      </w:pPr>
      <w:r>
        <w:t>2.1 漏洞位置</w:t>
      </w:r>
    </w:p>
    <w:p w14:paraId="159FE204">
      <w:pPr>
        <w:pStyle w:val="16"/>
      </w:pPr>
      <w:r>
        <w:t>目标URL: 包含GET参数`ennames`的接口</w:t>
      </w:r>
    </w:p>
    <w:p w14:paraId="05B2AC81">
      <w:pPr>
        <w:pStyle w:val="16"/>
      </w:pPr>
      <w:r>
        <w:t>数据库类型: MySQL &gt;= 5.0.12</w:t>
      </w:r>
    </w:p>
    <w:p w14:paraId="2BF888CB">
      <w:pPr>
        <w:pStyle w:val="16"/>
      </w:pPr>
      <w:r>
        <w:t>注入类型: 基于时间的盲注（Time-based blind）</w:t>
      </w:r>
    </w:p>
    <w:p w14:paraId="154F202B">
      <w:pPr>
        <w:pStyle w:val="16"/>
      </w:pPr>
      <w:r>
        <w:t>利用方式: 通过SLEEP查询实现时间延迟检测</w:t>
      </w:r>
    </w:p>
    <w:p w14:paraId="7ABE4265">
      <w:pPr>
        <w:pStyle w:val="4"/>
      </w:pPr>
      <w:r>
        <w:t>2.2 攻击过程分析</w:t>
      </w:r>
    </w:p>
    <w:p w14:paraId="3984E42D">
      <w:r>
        <w:t>攻击者成功利用SQL注入漏洞进行了以下操作：</w:t>
      </w:r>
    </w:p>
    <w:p w14:paraId="1AAB2075">
      <w:pPr>
        <w:pStyle w:val="14"/>
      </w:pPr>
      <w:r>
        <w:t>1. 数据库枚举: 成功识别数据库名称为 `srps_hust`</w:t>
      </w:r>
    </w:p>
    <w:p w14:paraId="73681529">
      <w:pPr>
        <w:pStyle w:val="14"/>
      </w:pPr>
      <w:r>
        <w:t>2. 表结构枚举: 成功枚举超过50个数据表</w:t>
      </w:r>
    </w:p>
    <w:p w14:paraId="1D79FB9E">
      <w:pPr>
        <w:pStyle w:val="14"/>
      </w:pPr>
      <w:r>
        <w:t>3. 数据dump尝试: 尝试dump多个关键业务表的数据</w:t>
      </w:r>
    </w:p>
    <w:p w14:paraId="4A8F2426">
      <w:pPr>
        <w:pStyle w:val="3"/>
      </w:pPr>
      <w:r>
        <w:t>3. 数据库结构泄露风险评估</w:t>
      </w:r>
    </w:p>
    <w:p w14:paraId="4DBA196E">
      <w:pPr>
        <w:pStyle w:val="4"/>
        <w:rPr>
          <w:rFonts w:hint="eastAsia" w:eastAsia="宋体"/>
          <w:lang w:eastAsia="zh-CN"/>
        </w:rPr>
      </w:pPr>
      <w:r>
        <w:t>3.1 泄露的数据表分类</w:t>
      </w:r>
      <w:r>
        <w:rPr>
          <w:rFonts w:hint="eastAsia" w:eastAsia="宋体"/>
          <w:lang w:eastAsia="zh-CN"/>
        </w:rPr>
        <w:t>（</w:t>
      </w:r>
      <w:r>
        <w:rPr>
          <w:rFonts w:hint="eastAsia" w:eastAsia="宋体"/>
          <w:lang w:val="en-US" w:eastAsia="zh-CN"/>
        </w:rPr>
        <w:t>部分</w:t>
      </w:r>
      <w:r>
        <w:rPr>
          <w:rFonts w:hint="eastAsia" w:eastAsia="宋体"/>
          <w:lang w:eastAsia="zh-CN"/>
        </w:rPr>
        <w:t>）</w:t>
      </w:r>
    </w:p>
    <w:p w14:paraId="2F8E9B58">
      <w:pPr>
        <w:pStyle w:val="5"/>
      </w:pPr>
      <w:r>
        <w:t>3.1.1 工作流相关表（高风险）</w:t>
      </w:r>
    </w:p>
    <w:p w14:paraId="36954EA4">
      <w:pPr>
        <w:pStyle w:val="16"/>
      </w:pPr>
      <w:r>
        <w:t>act_hi_attachment - 工作流附件表</w:t>
      </w:r>
    </w:p>
    <w:p w14:paraId="60C33F4C">
      <w:pPr>
        <w:pStyle w:val="16"/>
      </w:pPr>
      <w:r>
        <w:t>act_hi_taskinst - 工作流任务实例表</w:t>
      </w:r>
    </w:p>
    <w:p w14:paraId="3FD2B267">
      <w:pPr>
        <w:pStyle w:val="16"/>
      </w:pPr>
      <w:r>
        <w:t>act_re_procdef - 流程定义表</w:t>
      </w:r>
    </w:p>
    <w:p w14:paraId="3C3229F9">
      <w:pPr>
        <w:pStyle w:val="16"/>
      </w:pPr>
      <w:r>
        <w:t>act_cmmn_casedef - 案例定义表</w:t>
      </w:r>
    </w:p>
    <w:p w14:paraId="33F80E6D">
      <w:pPr>
        <w:pStyle w:val="5"/>
      </w:pPr>
      <w:r>
        <w:t>3.1.2 用户管理相关表（高风险）</w:t>
      </w:r>
    </w:p>
    <w:p w14:paraId="635D06F0">
      <w:pPr>
        <w:pStyle w:val="16"/>
      </w:pPr>
      <w:r>
        <w:t>ynu_user_daily - 用户日常数据表</w:t>
      </w:r>
    </w:p>
    <w:p w14:paraId="1036F5D1">
      <w:pPr>
        <w:pStyle w:val="16"/>
      </w:pPr>
      <w:r>
        <w:t>n_admin_person_manage - 管理员人员管理表</w:t>
      </w:r>
    </w:p>
    <w:p w14:paraId="38D29343">
      <w:pPr>
        <w:pStyle w:val="5"/>
      </w:pPr>
      <w:r>
        <w:t>3.1.3 设备管理相关表（中风险）</w:t>
      </w:r>
    </w:p>
    <w:p w14:paraId="731310B5">
      <w:pPr>
        <w:pStyle w:val="16"/>
      </w:pPr>
      <w:r>
        <w:t>l_device_booking_record_detail - 设备预订记录详情表</w:t>
      </w:r>
    </w:p>
    <w:p w14:paraId="560068A2">
      <w:pPr>
        <w:pStyle w:val="16"/>
      </w:pPr>
      <w:r>
        <w:t>l_device_good_lend_manage - 设备借用管理表</w:t>
      </w:r>
    </w:p>
    <w:p w14:paraId="0A0AD932">
      <w:pPr>
        <w:pStyle w:val="16"/>
      </w:pPr>
      <w:r>
        <w:t>l_online_device_manage - 在线设备管理表</w:t>
      </w:r>
    </w:p>
    <w:p w14:paraId="3683AA29">
      <w:pPr>
        <w:pStyle w:val="5"/>
      </w:pPr>
      <w:r>
        <w:t>3.1.4 实验管理相关表（中风险）</w:t>
      </w:r>
    </w:p>
    <w:p w14:paraId="015666C0">
      <w:pPr>
        <w:pStyle w:val="16"/>
      </w:pPr>
      <w:r>
        <w:t>l_experiment - 实验记录表</w:t>
      </w:r>
    </w:p>
    <w:p w14:paraId="797FFE53">
      <w:pPr>
        <w:pStyle w:val="16"/>
      </w:pPr>
      <w:r>
        <w:t>l_virus_animal_order - 病毒动物订单表</w:t>
      </w:r>
    </w:p>
    <w:p w14:paraId="7CE02866">
      <w:pPr>
        <w:pStyle w:val="16"/>
      </w:pPr>
      <w:r>
        <w:t>l_animal_room - 动物房间管理表</w:t>
      </w:r>
    </w:p>
    <w:p w14:paraId="20F093B7">
      <w:pPr>
        <w:pStyle w:val="5"/>
      </w:pPr>
      <w:r>
        <w:t>3.1.5 系统配置相关表（中风险）</w:t>
      </w:r>
    </w:p>
    <w:p w14:paraId="26ABD157">
      <w:pPr>
        <w:pStyle w:val="16"/>
      </w:pPr>
      <w:r>
        <w:t>qrtz_job_details - 定时任务详情表</w:t>
      </w:r>
    </w:p>
    <w:p w14:paraId="16E69D3A">
      <w:pPr>
        <w:pStyle w:val="16"/>
      </w:pPr>
      <w:r>
        <w:t>lib_model_manage - 模型管理表</w:t>
      </w:r>
    </w:p>
    <w:p w14:paraId="1076F3CF">
      <w:pPr>
        <w:pStyle w:val="16"/>
      </w:pPr>
      <w:r>
        <w:t>plugin_ureport_file_tbl - 报表文件表</w:t>
      </w:r>
    </w:p>
    <w:p w14:paraId="38596916">
      <w:pPr>
        <w:pStyle w:val="4"/>
      </w:pPr>
      <w:r>
        <w:t>3.2 实际数据泄露情况</w:t>
      </w:r>
    </w:p>
    <w:p w14:paraId="554A4C55">
      <w:r>
        <w:t>根据dump数据分析：</w:t>
      </w:r>
    </w:p>
    <w:p w14:paraId="0EBDC35E">
      <w:pPr>
        <w:pStyle w:val="16"/>
      </w:pPr>
      <w:r>
        <w:t>• 表结构完全泄露: 所有表的字段名和数据类型被完全获取</w:t>
      </w:r>
    </w:p>
    <w:p w14:paraId="3142D165">
      <w:pPr>
        <w:pStyle w:val="16"/>
      </w:pPr>
      <w:r>
        <w:t>• 实际数据部分泄露: 部分表的数据内容被成功dump</w:t>
      </w:r>
    </w:p>
    <w:p w14:paraId="60C8AEA6">
      <w:pPr>
        <w:pStyle w:val="16"/>
      </w:pPr>
      <w:r>
        <w:t>• 敏感信息暴露: 工作流实例、用户ID、设备信息等敏感数据存在泄露风险</w:t>
      </w:r>
    </w:p>
    <w:p w14:paraId="79E0C2FD">
      <w:pPr>
        <w:pStyle w:val="3"/>
      </w:pPr>
      <w:r>
        <w:t>4. 业务影响评估</w:t>
      </w:r>
    </w:p>
    <w:p w14:paraId="33D9CA36">
      <w:pPr>
        <w:pStyle w:val="4"/>
      </w:pPr>
      <w:r>
        <w:t>4.1 直接业务影响</w:t>
      </w:r>
    </w:p>
    <w:p w14:paraId="58AB39A6">
      <w:pPr>
        <w:pStyle w:val="16"/>
      </w:pPr>
      <w:r>
        <w:t>数据完整性破坏: 攻击者可修改、删除业务数据</w:t>
      </w:r>
    </w:p>
    <w:p w14:paraId="21B83D96">
      <w:pPr>
        <w:pStyle w:val="16"/>
      </w:pPr>
      <w:r>
        <w:t>业务逻辑绕过: 通过SQL注入可绕过正常业务流程</w:t>
      </w:r>
    </w:p>
    <w:p w14:paraId="43ECEA97">
      <w:pPr>
        <w:pStyle w:val="16"/>
      </w:pPr>
      <w:r>
        <w:t>敏感信息泄露: 用户信息、设备信息、实验数据等可能被窃取</w:t>
      </w:r>
    </w:p>
    <w:p w14:paraId="35520999">
      <w:pPr>
        <w:pStyle w:val="4"/>
      </w:pPr>
      <w:r>
        <w:t>4.2 间接业务影响</w:t>
      </w:r>
    </w:p>
    <w:p w14:paraId="56B82D8B">
      <w:pPr>
        <w:pStyle w:val="16"/>
      </w:pPr>
      <w:r>
        <w:t>合规风险: 违反数据保护法规要求</w:t>
      </w:r>
    </w:p>
    <w:p w14:paraId="3733DD8F">
      <w:pPr>
        <w:pStyle w:val="16"/>
      </w:pPr>
      <w:r>
        <w:t>声誉损失: 影响单位信息安全形象</w:t>
      </w:r>
    </w:p>
    <w:p w14:paraId="3588B6B1">
      <w:pPr>
        <w:pStyle w:val="16"/>
      </w:pPr>
      <w:r>
        <w:t>经济损失: 可能导致业务中断和修复成本</w:t>
      </w:r>
    </w:p>
    <w:p w14:paraId="70AB1011">
      <w:pPr>
        <w:pStyle w:val="3"/>
      </w:pPr>
      <w:r>
        <w:t>5. 技术风险等级评估</w:t>
      </w:r>
    </w:p>
    <w:p w14:paraId="077BD2C9">
      <w:pPr>
        <w:pStyle w:val="4"/>
      </w:pPr>
      <w:r>
        <w:t>5.1 漏洞风险矩阵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 w14:paraId="0C6DE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80" w:type="dxa"/>
          </w:tcPr>
          <w:p w14:paraId="67CF95DC">
            <w:pPr>
              <w:spacing w:after="0" w:line="240" w:lineRule="auto"/>
            </w:pPr>
            <w:r>
              <w:t>风险维度</w:t>
            </w:r>
          </w:p>
        </w:tc>
        <w:tc>
          <w:tcPr>
            <w:tcW w:w="2880" w:type="dxa"/>
          </w:tcPr>
          <w:p w14:paraId="40083BFC">
            <w:pPr>
              <w:spacing w:after="0" w:line="240" w:lineRule="auto"/>
            </w:pPr>
            <w:r>
              <w:t>风险等级</w:t>
            </w:r>
          </w:p>
        </w:tc>
        <w:tc>
          <w:tcPr>
            <w:tcW w:w="2880" w:type="dxa"/>
          </w:tcPr>
          <w:p w14:paraId="78667141">
            <w:pPr>
              <w:spacing w:after="0" w:line="240" w:lineRule="auto"/>
            </w:pPr>
            <w:r>
              <w:t>说明</w:t>
            </w:r>
          </w:p>
        </w:tc>
      </w:tr>
      <w:tr w14:paraId="7B269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4722DE8F">
            <w:pPr>
              <w:spacing w:after="0" w:line="240" w:lineRule="auto"/>
            </w:pPr>
            <w:r>
              <w:t>可利用性</w:t>
            </w:r>
          </w:p>
        </w:tc>
        <w:tc>
          <w:tcPr>
            <w:tcW w:w="2880" w:type="dxa"/>
          </w:tcPr>
          <w:p w14:paraId="17346215">
            <w:pPr>
              <w:spacing w:after="0" w:line="240" w:lineRule="auto"/>
            </w:pPr>
            <w:r>
              <w:t>高</w:t>
            </w:r>
          </w:p>
        </w:tc>
        <w:tc>
          <w:tcPr>
            <w:tcW w:w="2880" w:type="dxa"/>
          </w:tcPr>
          <w:p w14:paraId="45ADBBED">
            <w:pPr>
              <w:spacing w:after="0" w:line="240" w:lineRule="auto"/>
            </w:pPr>
            <w:r>
              <w:t>SQLMap可直接利用，无需复杂条件</w:t>
            </w:r>
          </w:p>
        </w:tc>
      </w:tr>
      <w:tr w14:paraId="18867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6BC5289F">
            <w:pPr>
              <w:spacing w:after="0" w:line="240" w:lineRule="auto"/>
            </w:pPr>
            <w:r>
              <w:t>影响范围</w:t>
            </w:r>
          </w:p>
        </w:tc>
        <w:tc>
          <w:tcPr>
            <w:tcW w:w="2880" w:type="dxa"/>
          </w:tcPr>
          <w:p w14:paraId="198E5E94">
            <w:pPr>
              <w:spacing w:after="0" w:line="240" w:lineRule="auto"/>
            </w:pPr>
            <w:r>
              <w:t>高</w:t>
            </w:r>
          </w:p>
        </w:tc>
        <w:tc>
          <w:tcPr>
            <w:tcW w:w="2880" w:type="dxa"/>
          </w:tcPr>
          <w:p w14:paraId="3BF4FFDF">
            <w:pPr>
              <w:spacing w:after="0" w:line="240" w:lineRule="auto"/>
            </w:pPr>
            <w:r>
              <w:t>影响整个数据库和业务系统</w:t>
            </w:r>
          </w:p>
        </w:tc>
      </w:tr>
      <w:tr w14:paraId="48CF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1D13FA33">
            <w:pPr>
              <w:spacing w:after="0" w:line="240" w:lineRule="auto"/>
            </w:pPr>
            <w:r>
              <w:t>修复难度</w:t>
            </w:r>
          </w:p>
        </w:tc>
        <w:tc>
          <w:tcPr>
            <w:tcW w:w="2880" w:type="dxa"/>
          </w:tcPr>
          <w:p w14:paraId="22BCF2B4">
            <w:pPr>
              <w:spacing w:after="0" w:line="240" w:lineRule="auto"/>
            </w:pPr>
            <w:r>
              <w:t>中</w:t>
            </w:r>
          </w:p>
        </w:tc>
        <w:tc>
          <w:tcPr>
            <w:tcW w:w="2880" w:type="dxa"/>
          </w:tcPr>
          <w:p w14:paraId="72E9AA96">
            <w:pPr>
              <w:spacing w:after="0" w:line="240" w:lineRule="auto"/>
            </w:pPr>
            <w:r>
              <w:t>需要代码层面修复和测试</w:t>
            </w:r>
          </w:p>
        </w:tc>
      </w:tr>
      <w:tr w14:paraId="5C6E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1B88889D">
            <w:pPr>
              <w:spacing w:after="0" w:line="240" w:lineRule="auto"/>
            </w:pPr>
            <w:r>
              <w:t>检测难度</w:t>
            </w:r>
          </w:p>
        </w:tc>
        <w:tc>
          <w:tcPr>
            <w:tcW w:w="2880" w:type="dxa"/>
          </w:tcPr>
          <w:p w14:paraId="74251EBA">
            <w:pPr>
              <w:spacing w:after="0" w:line="240" w:lineRule="auto"/>
            </w:pPr>
            <w:r>
              <w:t>低</w:t>
            </w:r>
          </w:p>
        </w:tc>
        <w:tc>
          <w:tcPr>
            <w:tcW w:w="2880" w:type="dxa"/>
          </w:tcPr>
          <w:p w14:paraId="5CB79E77">
            <w:pPr>
              <w:spacing w:after="0" w:line="240" w:lineRule="auto"/>
            </w:pPr>
            <w:r>
              <w:t>攻击痕迹明显，易于发现</w:t>
            </w:r>
          </w:p>
        </w:tc>
      </w:tr>
    </w:tbl>
    <w:p w14:paraId="79DBDBF4">
      <w:pPr>
        <w:pStyle w:val="4"/>
      </w:pPr>
      <w:r>
        <w:t>5.2 综合风险评分</w:t>
      </w:r>
    </w:p>
    <w:p w14:paraId="1587AEDC">
      <w:pPr>
        <w:pStyle w:val="16"/>
      </w:pPr>
      <w:r>
        <w:t>CVSS评分: 8.8（高危）</w:t>
      </w:r>
    </w:p>
    <w:p w14:paraId="10816DEA">
      <w:pPr>
        <w:pStyle w:val="16"/>
      </w:pPr>
      <w:r>
        <w:t>风险优先级: 立即修复</w:t>
      </w:r>
    </w:p>
    <w:p w14:paraId="7C9F3092">
      <w:pPr>
        <w:pStyle w:val="3"/>
      </w:pPr>
      <w:r>
        <w:t>6. 攻击统计数据分析</w:t>
      </w:r>
    </w:p>
    <w:p w14:paraId="303B7DA8">
      <w:pPr>
        <w:pStyle w:val="4"/>
      </w:pPr>
      <w:r>
        <w:t>6.1 HTTP错误统计</w:t>
      </w:r>
    </w:p>
    <w:tbl>
      <w:tblPr>
        <w:tblStyle w:val="42"/>
        <w:tblW w:w="0" w:type="auto"/>
        <w:tblInd w:w="0" w:type="dxa"/>
        <w:tbl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4BE40D48">
        <w:tblPrEx>
          <w:tblBorders>
            <w:top w:val="single" w:color="4F81BD" w:themeColor="accent1" w:sz="8" w:space="0"/>
            <w:left w:val="single" w:color="4F81BD" w:themeColor="accent1" w:sz="8" w:space="0"/>
            <w:bottom w:val="single" w:color="4F81BD" w:themeColor="accent1" w:sz="8" w:space="0"/>
            <w:right w:val="single" w:color="4F81BD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49C074E">
            <w:pPr>
              <w:spacing w:after="0" w:line="240" w:lineRule="auto"/>
            </w:pPr>
            <w:r>
              <w:t>HTTP状态</w:t>
            </w:r>
          </w:p>
        </w:tc>
        <w:tc>
          <w:tcPr>
            <w:tcW w:w="4320" w:type="dxa"/>
          </w:tcPr>
          <w:p w14:paraId="64AF66AE">
            <w:pPr>
              <w:spacing w:after="0" w:line="240" w:lineRule="auto"/>
            </w:pPr>
            <w:r>
              <w:t>次数 / 说明</w:t>
            </w:r>
          </w:p>
        </w:tc>
      </w:tr>
      <w:tr w14:paraId="43C6DC03">
        <w:tblPrEx>
          <w:tblBorders>
            <w:top w:val="single" w:color="4F81BD" w:themeColor="accent1" w:sz="8" w:space="0"/>
            <w:left w:val="single" w:color="4F81BD" w:themeColor="accent1" w:sz="8" w:space="0"/>
            <w:bottom w:val="single" w:color="4F81BD" w:themeColor="accent1" w:sz="8" w:space="0"/>
            <w:right w:val="single" w:color="4F81BD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A286092">
            <w:pPr>
              <w:spacing w:after="0" w:line="240" w:lineRule="auto"/>
            </w:pPr>
            <w:r>
              <w:t>403</w:t>
            </w:r>
          </w:p>
        </w:tc>
        <w:tc>
          <w:tcPr>
            <w:tcW w:w="4320" w:type="dxa"/>
          </w:tcPr>
          <w:p w14:paraId="2103756A">
            <w:pPr>
              <w:spacing w:after="0" w:line="240" w:lineRule="auto"/>
            </w:pPr>
            <w:r>
              <w:t>1280 - 权限拒绝</w:t>
            </w:r>
          </w:p>
        </w:tc>
      </w:tr>
      <w:tr w14:paraId="10F04FA9">
        <w:tblPrEx>
          <w:tblBorders>
            <w:top w:val="single" w:color="4F81BD" w:themeColor="accent1" w:sz="8" w:space="0"/>
            <w:left w:val="single" w:color="4F81BD" w:themeColor="accent1" w:sz="8" w:space="0"/>
            <w:bottom w:val="single" w:color="4F81BD" w:themeColor="accent1" w:sz="8" w:space="0"/>
            <w:right w:val="single" w:color="4F81BD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D9ABEAB">
            <w:pPr>
              <w:spacing w:after="0" w:line="240" w:lineRule="auto"/>
            </w:pPr>
            <w:r>
              <w:t>400</w:t>
            </w:r>
          </w:p>
        </w:tc>
        <w:tc>
          <w:tcPr>
            <w:tcW w:w="4320" w:type="dxa"/>
          </w:tcPr>
          <w:p w14:paraId="5A8C8DB6">
            <w:pPr>
              <w:spacing w:after="0" w:line="240" w:lineRule="auto"/>
            </w:pPr>
            <w:r>
              <w:t>23 - 错误请求</w:t>
            </w:r>
          </w:p>
        </w:tc>
      </w:tr>
      <w:tr w14:paraId="69AE44DB">
        <w:tblPrEx>
          <w:tblBorders>
            <w:top w:val="single" w:color="4F81BD" w:themeColor="accent1" w:sz="8" w:space="0"/>
            <w:left w:val="single" w:color="4F81BD" w:themeColor="accent1" w:sz="8" w:space="0"/>
            <w:bottom w:val="single" w:color="4F81BD" w:themeColor="accent1" w:sz="8" w:space="0"/>
            <w:right w:val="single" w:color="4F81BD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21F14CA">
            <w:pPr>
              <w:spacing w:after="0" w:line="240" w:lineRule="auto"/>
            </w:pPr>
            <w:r>
              <w:t>404</w:t>
            </w:r>
          </w:p>
        </w:tc>
        <w:tc>
          <w:tcPr>
            <w:tcW w:w="4320" w:type="dxa"/>
          </w:tcPr>
          <w:p w14:paraId="0CAC0462">
            <w:pPr>
              <w:spacing w:after="0" w:line="240" w:lineRule="auto"/>
            </w:pPr>
            <w:r>
              <w:t>3714 - 资源不存在</w:t>
            </w:r>
          </w:p>
        </w:tc>
      </w:tr>
      <w:tr w14:paraId="39DD1D6F">
        <w:tblPrEx>
          <w:tblBorders>
            <w:top w:val="single" w:color="4F81BD" w:themeColor="accent1" w:sz="8" w:space="0"/>
            <w:left w:val="single" w:color="4F81BD" w:themeColor="accent1" w:sz="8" w:space="0"/>
            <w:bottom w:val="single" w:color="4F81BD" w:themeColor="accent1" w:sz="8" w:space="0"/>
            <w:right w:val="single" w:color="4F81BD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BC07B7E">
            <w:pPr>
              <w:spacing w:after="0" w:line="240" w:lineRule="auto"/>
            </w:pPr>
            <w:r>
              <w:t>408</w:t>
            </w:r>
          </w:p>
        </w:tc>
        <w:tc>
          <w:tcPr>
            <w:tcW w:w="4320" w:type="dxa"/>
          </w:tcPr>
          <w:p w14:paraId="2F172FA7">
            <w:pPr>
              <w:spacing w:after="0" w:line="240" w:lineRule="auto"/>
            </w:pPr>
            <w:r>
              <w:t>11144 - 请求超时</w:t>
            </w:r>
          </w:p>
        </w:tc>
      </w:tr>
    </w:tbl>
    <w:p w14:paraId="549EB70B">
      <w:pPr>
        <w:pStyle w:val="4"/>
      </w:pPr>
      <w:r>
        <w:t>6.2 攻击特征分析</w:t>
      </w:r>
    </w:p>
    <w:p w14:paraId="3160E1D6">
      <w:pPr>
        <w:pStyle w:val="16"/>
      </w:pPr>
      <w:r>
        <w:t>持续性攻击: 攻击持续较长时间</w:t>
      </w:r>
    </w:p>
    <w:p w14:paraId="1A3B4C68">
      <w:pPr>
        <w:pStyle w:val="16"/>
      </w:pPr>
      <w:r>
        <w:t>全面扫描: 对多个参数和路径进行测试</w:t>
      </w:r>
    </w:p>
    <w:p w14:paraId="0E43CA70">
      <w:pPr>
        <w:pStyle w:val="16"/>
      </w:pPr>
      <w:r>
        <w:t>深度渗透: 成功获取数据库结构和部分数据</w:t>
      </w:r>
    </w:p>
    <w:p w14:paraId="5E601143">
      <w:pPr>
        <w:pStyle w:val="3"/>
      </w:pPr>
      <w:r>
        <w:t>7. 系统架构安全分析</w:t>
      </w:r>
    </w:p>
    <w:p w14:paraId="4107FC2C">
      <w:pPr>
        <w:pStyle w:val="16"/>
      </w:pPr>
      <w:r>
        <w:t>技术栈识别: MySQL 5.0.12+，Activiti，疑似Spring Boot + MyBatis</w:t>
      </w:r>
    </w:p>
    <w:p w14:paraId="63130C6C">
      <w:pPr>
        <w:pStyle w:val="16"/>
      </w:pPr>
      <w:r>
        <w:t>安全防护缺失:</w:t>
      </w:r>
    </w:p>
    <w:p w14:paraId="5B86A3E8">
      <w:pPr>
        <w:pStyle w:val="16"/>
      </w:pPr>
      <w:r>
        <w:t>输入验证缺失: 未对用户输入进行有效过滤</w:t>
      </w:r>
    </w:p>
    <w:p w14:paraId="3CED3960">
      <w:pPr>
        <w:pStyle w:val="16"/>
      </w:pPr>
      <w:r>
        <w:t>参数化查询缺失: 使用字符串拼接SQL</w:t>
      </w:r>
    </w:p>
    <w:p w14:paraId="08F64F5D">
      <w:pPr>
        <w:pStyle w:val="16"/>
      </w:pPr>
      <w:r>
        <w:t>WAF防护缺失: 未部署Web应用防火墙</w:t>
      </w:r>
    </w:p>
    <w:p w14:paraId="3934FE91">
      <w:pPr>
        <w:pStyle w:val="16"/>
      </w:pPr>
      <w:r>
        <w:t>监控告警缺失: 未及时发现异常访问</w:t>
      </w:r>
    </w:p>
    <w:p w14:paraId="4E961046">
      <w:pPr>
        <w:pStyle w:val="3"/>
      </w:pPr>
      <w:r>
        <w:t>8. 应急响应建议</w:t>
      </w:r>
    </w:p>
    <w:p w14:paraId="122F8846">
      <w:pPr>
        <w:pStyle w:val="4"/>
      </w:pPr>
      <w:r>
        <w:t>8.1 立即措施</w:t>
      </w:r>
    </w:p>
    <w:p w14:paraId="711982ED">
      <w:pPr>
        <w:pStyle w:val="16"/>
      </w:pPr>
      <w:r>
        <w:t>隔离受影响系统: 暂时限制外部访问</w:t>
      </w:r>
    </w:p>
    <w:p w14:paraId="033CE231">
      <w:pPr>
        <w:pStyle w:val="16"/>
      </w:pPr>
      <w:r>
        <w:t>检查数据完整性: 验证关键业务数据是否被篡改</w:t>
      </w:r>
    </w:p>
    <w:p w14:paraId="012EAC2C">
      <w:pPr>
        <w:pStyle w:val="16"/>
      </w:pPr>
      <w:r>
        <w:t>修改数据库密码: 更新数据库连接密码</w:t>
      </w:r>
    </w:p>
    <w:p w14:paraId="0055B5B9">
      <w:pPr>
        <w:pStyle w:val="16"/>
      </w:pPr>
      <w:r>
        <w:t>启用详细日志: 开启SQL查询日志进行监控</w:t>
      </w:r>
    </w:p>
    <w:p w14:paraId="6D74BA4F">
      <w:pPr>
        <w:pStyle w:val="4"/>
      </w:pPr>
      <w:r>
        <w:t>8.2 短期措施</w:t>
      </w:r>
    </w:p>
    <w:p w14:paraId="7BABA4EE">
      <w:pPr>
        <w:pStyle w:val="16"/>
      </w:pPr>
      <w:r>
        <w:t>代码修复: 实施参数化查询</w:t>
      </w:r>
    </w:p>
    <w:p w14:paraId="313A60EC">
      <w:pPr>
        <w:pStyle w:val="16"/>
      </w:pPr>
      <w:r>
        <w:t>安全加固: 部署WAF防护</w:t>
      </w:r>
    </w:p>
    <w:p w14:paraId="708FF5F7">
      <w:pPr>
        <w:pStyle w:val="16"/>
      </w:pPr>
      <w:r>
        <w:t>监控增强: 建立安全监控体系</w:t>
      </w:r>
    </w:p>
    <w:p w14:paraId="13DC72F1">
      <w:pPr>
        <w:pStyle w:val="4"/>
      </w:pPr>
      <w:r>
        <w:t>8.3 长期措施</w:t>
      </w:r>
    </w:p>
    <w:p w14:paraId="4794B138">
      <w:pPr>
        <w:pStyle w:val="16"/>
      </w:pPr>
      <w:r>
        <w:t>安全开发规范: 建立安全编码标准</w:t>
      </w:r>
    </w:p>
    <w:p w14:paraId="27E62B93">
      <w:pPr>
        <w:pStyle w:val="16"/>
      </w:pPr>
      <w:r>
        <w:t>定期安全测试: 实施渗透测试和代码审计</w:t>
      </w:r>
    </w:p>
    <w:p w14:paraId="1595D8CA">
      <w:pPr>
        <w:pStyle w:val="16"/>
      </w:pPr>
      <w:r>
        <w:t>安全意识培训: 提升开发人员安全技能</w:t>
      </w:r>
    </w:p>
    <w:p w14:paraId="22215B6D">
      <w:pPr>
        <w:pStyle w:val="3"/>
      </w:pPr>
      <w:r>
        <w:t>9. 修复优先级建议</w:t>
      </w:r>
    </w:p>
    <w:p w14:paraId="60653739">
      <w:pPr>
        <w:pStyle w:val="16"/>
      </w:pPr>
      <w:r>
        <w:t>高优先级（24小时内）:</w:t>
      </w:r>
    </w:p>
    <w:p w14:paraId="62B223F7">
      <w:r>
        <w:t>☐ 修复SQL注入漏洞代码</w:t>
      </w:r>
    </w:p>
    <w:p w14:paraId="7B2DAF53">
      <w:r>
        <w:t>☐ 修改数据库访问密码</w:t>
      </w:r>
    </w:p>
    <w:p w14:paraId="7B898E31">
      <w:r>
        <w:t>☐ 部署基础WAF防护</w:t>
      </w:r>
    </w:p>
    <w:p w14:paraId="6E7E069B">
      <w:pPr>
        <w:pStyle w:val="16"/>
      </w:pPr>
      <w:r>
        <w:t>中优先级（1周内）:</w:t>
      </w:r>
    </w:p>
    <w:p w14:paraId="42DBC2D2">
      <w:r>
        <w:t>☐ 实施安全监控告警</w:t>
      </w:r>
    </w:p>
    <w:p w14:paraId="1B392FA0">
      <w:r>
        <w:t>☐ 进行代码安全审计</w:t>
      </w:r>
    </w:p>
    <w:p w14:paraId="10431E9A">
      <w:r>
        <w:t>☐ 建立应急响应流程</w:t>
      </w:r>
    </w:p>
    <w:p w14:paraId="049C7AA4">
      <w:pPr>
        <w:pStyle w:val="16"/>
      </w:pPr>
      <w:r>
        <w:t>低优先级（1月内）:</w:t>
      </w:r>
    </w:p>
    <w:p w14:paraId="1672B482">
      <w:r>
        <w:t>☐ 完善安全开发规范</w:t>
      </w:r>
    </w:p>
    <w:p w14:paraId="1D2FDFA9">
      <w:r>
        <w:t>☐ 开展安全意识培训</w:t>
      </w:r>
    </w:p>
    <w:p w14:paraId="21BCBDFA">
      <w:r>
        <w:t>☐ 建立持续安全测试机制</w:t>
      </w:r>
    </w:p>
    <w:p w14:paraId="71E9EC88">
      <w:pPr>
        <w:pStyle w:val="3"/>
      </w:pPr>
      <w:r>
        <w:t>10. 总结</w:t>
      </w:r>
      <w:bookmarkStart w:id="0" w:name="_GoBack"/>
      <w:bookmarkEnd w:id="0"/>
    </w:p>
    <w:p w14:paraId="30907753">
      <w:r>
        <w:t>本次SQL注入漏洞属于高危安全风险，攻击者已成功获取数据库结构和部分业务数据。建议立即启动应急响应，优先修复漏洞并加强安全防护措施，防止进一步的数据泄露和业务影响。</w:t>
      </w:r>
    </w:p>
    <w:p w14:paraId="12487AA6"/>
    <w:p w14:paraId="3D31BFEC">
      <w:r>
        <w:t>---</w:t>
      </w:r>
    </w:p>
    <w:p w14:paraId="541E31A7">
      <w:r>
        <w:t>报告生成时间: 2025-10-31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73A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qFormat="1"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微软雅黑" w:hAnsi="微软雅黑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465</Words>
  <Characters>858</Characters>
  <Lines>0</Lines>
  <Paragraphs>0</Paragraphs>
  <TotalTime>2</TotalTime>
  <ScaleCrop>false</ScaleCrop>
  <LinksUpToDate>false</LinksUpToDate>
  <CharactersWithSpaces>927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2025-10-31T08:58:25Z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4F1629EE047249ED8F6E51FB82273053_12</vt:lpwstr>
  </property>
</Properties>
</file>