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A4A7D">
      <w:pPr>
        <w:pStyle w:val="31"/>
      </w:pPr>
      <w:r>
        <w:t>2025年第一季度测试团队项目进度及深度分析报</w:t>
      </w:r>
      <w:bookmarkStart w:id="0" w:name="_GoBack"/>
      <w:bookmarkEnd w:id="0"/>
      <w:r>
        <w:t>告</w:t>
      </w:r>
    </w:p>
    <w:p w14:paraId="5CA08E11">
      <w:pPr>
        <w:ind w:left="5040" w:leftChars="0" w:firstLine="720" w:firstLineChars="0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测试团队组长：黄阳博</w:t>
      </w:r>
    </w:p>
    <w:p w14:paraId="5BE4D753">
      <w:pPr>
        <w:pStyle w:val="3"/>
      </w:pPr>
      <w:r>
        <w:t>一、报告摘要</w:t>
      </w:r>
    </w:p>
    <w:p w14:paraId="4DFCEFC8">
      <w:r>
        <w:t>本报告对2025年第一季度测试团队的项目进度、缺陷管理、测试人员绩效、项目级缺陷分析以及开发与测试的协同改进进行了全面分析。报告内容涵盖任务完成情况、缺陷分布与修复效率，并提出改进建议与行动计划，以进一步提升项目质量和团队协作。</w:t>
      </w:r>
    </w:p>
    <w:p w14:paraId="11AE4D6B">
      <w:pPr>
        <w:pStyle w:val="3"/>
      </w:pPr>
      <w:r>
        <w:t>二、整体概览与核心指标</w:t>
      </w:r>
    </w:p>
    <w:p w14:paraId="344F2C8D">
      <w:r>
        <w:t>时间范围：2025年1月、2月、3月</w:t>
      </w:r>
    </w:p>
    <w:p w14:paraId="743DAC1E">
      <w:r>
        <w:t>团队成员：黄阳博、蔡曼杭、李怡铃</w:t>
      </w:r>
    </w:p>
    <w:p w14:paraId="40333793">
      <w:r>
        <w:t>核心指标定义：</w:t>
      </w:r>
      <w:r>
        <w:br w:type="textWrapping"/>
      </w:r>
      <w:r>
        <w:t>1. 任务完成率 = 总任务完成数 / 总任务数</w:t>
      </w:r>
      <w:r>
        <w:br w:type="textWrapping"/>
      </w:r>
      <w:r>
        <w:t>2. 缺陷修复率 = 总修复缺陷数 / 总发现缺陷数</w:t>
      </w:r>
      <w:r>
        <w:br w:type="textWrapping"/>
      </w:r>
      <w:r>
        <w:t>3. 低级缺陷占比 = 低级缺陷数 / 总缺陷数</w:t>
      </w:r>
      <w:r>
        <w:br w:type="textWrapping"/>
      </w:r>
      <w:r>
        <w:t>4. 回归缺陷率 = 总回归缺陷数 / 总修复缺陷数</w:t>
      </w:r>
    </w:p>
    <w:p w14:paraId="1D5F84A0">
      <w:r>
        <w:t>核心指标统计：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728"/>
        <w:gridCol w:w="1728"/>
        <w:gridCol w:w="1728"/>
        <w:gridCol w:w="1728"/>
      </w:tblGrid>
      <w:tr w14:paraId="643FA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3CB660E8">
            <w:pPr>
              <w:spacing w:after="0" w:line="240" w:lineRule="auto"/>
            </w:pPr>
            <w:r>
              <w:t>指标</w:t>
            </w:r>
          </w:p>
        </w:tc>
        <w:tc>
          <w:tcPr>
            <w:tcW w:w="1728" w:type="dxa"/>
          </w:tcPr>
          <w:p w14:paraId="2EB616CC">
            <w:pPr>
              <w:spacing w:after="0" w:line="240" w:lineRule="auto"/>
            </w:pPr>
            <w:r>
              <w:t>1月</w:t>
            </w:r>
          </w:p>
        </w:tc>
        <w:tc>
          <w:tcPr>
            <w:tcW w:w="1728" w:type="dxa"/>
          </w:tcPr>
          <w:p w14:paraId="79EC185B">
            <w:pPr>
              <w:spacing w:after="0" w:line="240" w:lineRule="auto"/>
            </w:pPr>
            <w:r>
              <w:t>2月</w:t>
            </w:r>
          </w:p>
        </w:tc>
        <w:tc>
          <w:tcPr>
            <w:tcW w:w="1728" w:type="dxa"/>
          </w:tcPr>
          <w:p w14:paraId="458FA2BB">
            <w:pPr>
              <w:spacing w:after="0" w:line="240" w:lineRule="auto"/>
            </w:pPr>
            <w:r>
              <w:t>3月</w:t>
            </w:r>
          </w:p>
        </w:tc>
        <w:tc>
          <w:tcPr>
            <w:tcW w:w="1728" w:type="dxa"/>
          </w:tcPr>
          <w:p w14:paraId="198EC42A">
            <w:pPr>
              <w:spacing w:after="0" w:line="240" w:lineRule="auto"/>
            </w:pPr>
            <w:r>
              <w:t>趋势分析</w:t>
            </w:r>
          </w:p>
        </w:tc>
      </w:tr>
      <w:tr w14:paraId="27C8C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6F1BF73D">
            <w:pPr>
              <w:spacing w:after="0" w:line="240" w:lineRule="auto"/>
            </w:pPr>
            <w:r>
              <w:t>总任务数</w:t>
            </w:r>
          </w:p>
        </w:tc>
        <w:tc>
          <w:tcPr>
            <w:tcW w:w="1728" w:type="dxa"/>
          </w:tcPr>
          <w:p w14:paraId="1AA85150">
            <w:pPr>
              <w:spacing w:after="0" w:line="240" w:lineRule="auto"/>
            </w:pPr>
            <w:r>
              <w:t>257</w:t>
            </w:r>
          </w:p>
        </w:tc>
        <w:tc>
          <w:tcPr>
            <w:tcW w:w="1728" w:type="dxa"/>
          </w:tcPr>
          <w:p w14:paraId="5C8EEEC6">
            <w:pPr>
              <w:spacing w:after="0" w:line="240" w:lineRule="auto"/>
            </w:pPr>
            <w:r>
              <w:t>187</w:t>
            </w:r>
          </w:p>
        </w:tc>
        <w:tc>
          <w:tcPr>
            <w:tcW w:w="1728" w:type="dxa"/>
          </w:tcPr>
          <w:p w14:paraId="09827EEB">
            <w:pPr>
              <w:spacing w:after="0" w:line="240" w:lineRule="auto"/>
            </w:pPr>
            <w:r>
              <w:t>211</w:t>
            </w:r>
          </w:p>
        </w:tc>
        <w:tc>
          <w:tcPr>
            <w:tcW w:w="1728" w:type="dxa"/>
          </w:tcPr>
          <w:p w14:paraId="71A535D9">
            <w:pPr>
              <w:spacing w:after="0" w:line="240" w:lineRule="auto"/>
            </w:pPr>
            <w:r>
              <w:t>2月下降，3月回升</w:t>
            </w:r>
          </w:p>
        </w:tc>
      </w:tr>
      <w:tr w14:paraId="37A8D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24E703EF">
            <w:pPr>
              <w:spacing w:after="0" w:line="240" w:lineRule="auto"/>
            </w:pPr>
            <w:r>
              <w:t>任务完成率</w:t>
            </w:r>
          </w:p>
        </w:tc>
        <w:tc>
          <w:tcPr>
            <w:tcW w:w="1728" w:type="dxa"/>
          </w:tcPr>
          <w:p w14:paraId="603C6239">
            <w:pPr>
              <w:spacing w:after="0" w:line="240" w:lineRule="auto"/>
            </w:pPr>
            <w:r>
              <w:t>113.6%</w:t>
            </w:r>
          </w:p>
        </w:tc>
        <w:tc>
          <w:tcPr>
            <w:tcW w:w="1728" w:type="dxa"/>
          </w:tcPr>
          <w:p w14:paraId="77CB2AE9">
            <w:pPr>
              <w:spacing w:after="0" w:line="240" w:lineRule="auto"/>
            </w:pPr>
            <w:r>
              <w:t>104.3%</w:t>
            </w:r>
          </w:p>
        </w:tc>
        <w:tc>
          <w:tcPr>
            <w:tcW w:w="1728" w:type="dxa"/>
          </w:tcPr>
          <w:p w14:paraId="009DAC53">
            <w:pPr>
              <w:spacing w:after="0" w:line="240" w:lineRule="auto"/>
            </w:pPr>
            <w:r>
              <w:t>106.6%</w:t>
            </w:r>
          </w:p>
        </w:tc>
        <w:tc>
          <w:tcPr>
            <w:tcW w:w="1728" w:type="dxa"/>
          </w:tcPr>
          <w:p w14:paraId="316FFCD1">
            <w:pPr>
              <w:spacing w:after="0" w:line="240" w:lineRule="auto"/>
            </w:pPr>
            <w:r>
              <w:t>持续超额完成</w:t>
            </w:r>
          </w:p>
        </w:tc>
      </w:tr>
      <w:tr w14:paraId="40364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58B9C80F">
            <w:pPr>
              <w:spacing w:after="0" w:line="240" w:lineRule="auto"/>
            </w:pPr>
            <w:r>
              <w:t>总缺陷数</w:t>
            </w:r>
          </w:p>
        </w:tc>
        <w:tc>
          <w:tcPr>
            <w:tcW w:w="1728" w:type="dxa"/>
          </w:tcPr>
          <w:p w14:paraId="430DD0D5">
            <w:pPr>
              <w:spacing w:after="0" w:line="240" w:lineRule="auto"/>
            </w:pPr>
            <w:r>
              <w:t>561</w:t>
            </w:r>
          </w:p>
        </w:tc>
        <w:tc>
          <w:tcPr>
            <w:tcW w:w="1728" w:type="dxa"/>
          </w:tcPr>
          <w:p w14:paraId="3873B8D3">
            <w:pPr>
              <w:spacing w:after="0" w:line="240" w:lineRule="auto"/>
            </w:pPr>
            <w:r>
              <w:t>587</w:t>
            </w:r>
          </w:p>
        </w:tc>
        <w:tc>
          <w:tcPr>
            <w:tcW w:w="1728" w:type="dxa"/>
          </w:tcPr>
          <w:p w14:paraId="0B63AFDF">
            <w:pPr>
              <w:spacing w:after="0" w:line="240" w:lineRule="auto"/>
            </w:pPr>
            <w:r>
              <w:t>561</w:t>
            </w:r>
          </w:p>
        </w:tc>
        <w:tc>
          <w:tcPr>
            <w:tcW w:w="1728" w:type="dxa"/>
          </w:tcPr>
          <w:p w14:paraId="08485679">
            <w:pPr>
              <w:spacing w:after="0" w:line="240" w:lineRule="auto"/>
            </w:pPr>
            <w:r>
              <w:t>2月缺陷达峰，3月回落</w:t>
            </w:r>
          </w:p>
        </w:tc>
      </w:tr>
      <w:tr w14:paraId="4A376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539F353A">
            <w:pPr>
              <w:spacing w:after="0" w:line="240" w:lineRule="auto"/>
            </w:pPr>
            <w:r>
              <w:t>低级缺陷占比</w:t>
            </w:r>
          </w:p>
        </w:tc>
        <w:tc>
          <w:tcPr>
            <w:tcW w:w="1728" w:type="dxa"/>
          </w:tcPr>
          <w:p w14:paraId="0BA9288F">
            <w:pPr>
              <w:spacing w:after="0" w:line="240" w:lineRule="auto"/>
            </w:pPr>
            <w:r>
              <w:t>12.8%</w:t>
            </w:r>
          </w:p>
        </w:tc>
        <w:tc>
          <w:tcPr>
            <w:tcW w:w="1728" w:type="dxa"/>
          </w:tcPr>
          <w:p w14:paraId="01B3A6A9">
            <w:pPr>
              <w:spacing w:after="0" w:line="240" w:lineRule="auto"/>
            </w:pPr>
            <w:r>
              <w:t>7.7%</w:t>
            </w:r>
          </w:p>
        </w:tc>
        <w:tc>
          <w:tcPr>
            <w:tcW w:w="1728" w:type="dxa"/>
          </w:tcPr>
          <w:p w14:paraId="50A5A15F">
            <w:pPr>
              <w:spacing w:after="0" w:line="240" w:lineRule="auto"/>
            </w:pPr>
            <w:r>
              <w:t>5.9%</w:t>
            </w:r>
          </w:p>
        </w:tc>
        <w:tc>
          <w:tcPr>
            <w:tcW w:w="1728" w:type="dxa"/>
          </w:tcPr>
          <w:p w14:paraId="0FED542D">
            <w:pPr>
              <w:spacing w:after="0" w:line="240" w:lineRule="auto"/>
            </w:pPr>
            <w:r>
              <w:t>持续优化，管控有效</w:t>
            </w:r>
          </w:p>
        </w:tc>
      </w:tr>
      <w:tr w14:paraId="1BA04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1DEB2A85">
            <w:pPr>
              <w:spacing w:after="0" w:line="240" w:lineRule="auto"/>
            </w:pPr>
            <w:r>
              <w:t>缺陷修复率</w:t>
            </w:r>
          </w:p>
        </w:tc>
        <w:tc>
          <w:tcPr>
            <w:tcW w:w="1728" w:type="dxa"/>
          </w:tcPr>
          <w:p w14:paraId="127D319B">
            <w:pPr>
              <w:spacing w:after="0" w:line="240" w:lineRule="auto"/>
            </w:pPr>
            <w:r>
              <w:t>115.3%</w:t>
            </w:r>
          </w:p>
        </w:tc>
        <w:tc>
          <w:tcPr>
            <w:tcW w:w="1728" w:type="dxa"/>
          </w:tcPr>
          <w:p w14:paraId="770279D5">
            <w:pPr>
              <w:spacing w:after="0" w:line="240" w:lineRule="auto"/>
            </w:pPr>
            <w:r>
              <w:t>98.3%</w:t>
            </w:r>
          </w:p>
        </w:tc>
        <w:tc>
          <w:tcPr>
            <w:tcW w:w="1728" w:type="dxa"/>
          </w:tcPr>
          <w:p w14:paraId="6FB28A57">
            <w:pPr>
              <w:spacing w:after="0" w:line="240" w:lineRule="auto"/>
            </w:pPr>
            <w:r>
              <w:t>104.3%</w:t>
            </w:r>
          </w:p>
        </w:tc>
        <w:tc>
          <w:tcPr>
            <w:tcW w:w="1728" w:type="dxa"/>
          </w:tcPr>
          <w:p w14:paraId="5A527237">
            <w:pPr>
              <w:spacing w:after="0" w:line="240" w:lineRule="auto"/>
            </w:pPr>
            <w:r>
              <w:t>2月修复滞后需关注</w:t>
            </w:r>
          </w:p>
        </w:tc>
      </w:tr>
    </w:tbl>
    <w:p w14:paraId="0C4B1D8A">
      <w:pPr>
        <w:pStyle w:val="3"/>
      </w:pPr>
      <w:r>
        <w:t>三、各月详细数据分析</w:t>
      </w:r>
    </w:p>
    <w:p w14:paraId="47B34CE2">
      <w:pPr>
        <w:pStyle w:val="4"/>
      </w:pPr>
      <w:r>
        <w:t>（1）2025年1月</w:t>
      </w:r>
    </w:p>
    <w:p w14:paraId="382BBBBD">
      <w:r>
        <w:t>【任务情况】</w:t>
      </w:r>
    </w:p>
    <w:p w14:paraId="347AC6D2">
      <w:r>
        <w:t>总任务数：257（黄阳博75、蔡曼杭110、李怡铃72）</w:t>
      </w:r>
    </w:p>
    <w:p w14:paraId="6804EF1D">
      <w:r>
        <w:t>任务完成数：292（完成率113.6%，超额完成）</w:t>
      </w:r>
    </w:p>
    <w:p w14:paraId="6C697734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93385" cy="2859405"/>
            <wp:effectExtent l="0" t="0" r="12065" b="1714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3385" cy="2859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47CB64">
      <w:r>
        <w:t>【缺陷管理】</w:t>
      </w:r>
    </w:p>
    <w:p w14:paraId="4CE78EA7">
      <w:r>
        <w:t>总发现缺陷数：561（黄阳博186、蔡曼杭164、李怡铃211）</w:t>
      </w:r>
    </w:p>
    <w:p w14:paraId="1466B6BC">
      <w:r>
        <w:t>总修复缺陷数：647（修复率115.3%，修复效率较高）</w:t>
      </w:r>
    </w:p>
    <w:p w14:paraId="266F01A6">
      <w:r>
        <w:t>低级缺陷数：72（占12.8%）</w:t>
      </w:r>
    </w:p>
    <w:p w14:paraId="6AE2D11B">
      <w:r>
        <w:t>主要问题：功能与需求不符或未实现（62例，占86.1%）、设计缺陷（4例）</w:t>
      </w:r>
    </w:p>
    <w:p w14:paraId="04867B6E">
      <w:r>
        <w:t>前三项目：爱尔眼科（20例）、华西海圻（10例）、仪器相关（5例）</w:t>
      </w:r>
    </w:p>
    <w:p w14:paraId="7DF7C56B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57825" cy="2776855"/>
            <wp:effectExtent l="0" t="0" r="9525" b="4445"/>
            <wp:docPr id="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2776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F7EB5A0">
      <w:r>
        <w:t>关键问题：低级缺陷主要集中于功能需求不匹配，需加强需求评审；李怡铃发现缺陷最多，但修复率略低。</w:t>
      </w:r>
    </w:p>
    <w:p w14:paraId="01F042CA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9415" cy="2208530"/>
            <wp:effectExtent l="0" t="0" r="6985" b="1270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2208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7E2C89">
      <w:pPr>
        <w:pStyle w:val="4"/>
      </w:pPr>
      <w:r>
        <w:t>（2）2025年2月</w:t>
      </w:r>
    </w:p>
    <w:p w14:paraId="429B2014">
      <w:r>
        <w:t>【任务情况】</w:t>
      </w:r>
    </w:p>
    <w:p w14:paraId="546F02BB">
      <w:r>
        <w:t>总任务数：187（黄阳博63、蔡曼杭86、李怡铃38）</w:t>
      </w:r>
    </w:p>
    <w:p w14:paraId="64A2B098">
      <w:r>
        <w:t>任务完成数：195（完成率104.3%）</w:t>
      </w:r>
    </w:p>
    <w:p w14:paraId="26BDE5BF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8145" cy="2851150"/>
            <wp:effectExtent l="0" t="0" r="8255" b="6350"/>
            <wp:docPr id="7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78145" cy="285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E958118">
      <w:r>
        <w:t>【缺陷管理】</w:t>
      </w:r>
    </w:p>
    <w:p w14:paraId="33DEB943">
      <w:r>
        <w:t>总发现缺陷数：587（黄阳博207、蔡曼杭184、李怡铃196）</w:t>
      </w:r>
    </w:p>
    <w:p w14:paraId="748AADB4">
      <w:r>
        <w:t>总修复缺陷数：577（修复率98.3%，略有缺口）</w:t>
      </w:r>
    </w:p>
    <w:p w14:paraId="0A6C9F33">
      <w:r>
        <w:t>低级缺陷数：45（占7.7%，较1月下降）</w:t>
      </w:r>
    </w:p>
    <w:p w14:paraId="28F3ECFE">
      <w:r>
        <w:t>主要问题：功能与需求不符或未实现（40例，占88.9%）</w:t>
      </w:r>
    </w:p>
    <w:p w14:paraId="502C2BF5">
      <w:r>
        <w:t>前三项目：爱尔眼科（11例）、中国科学院脑科学与智能技术卓越创新中心（8例）、深圳医学科学院（7例）</w:t>
      </w:r>
    </w:p>
    <w:p w14:paraId="4CA13756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57825" cy="2938145"/>
            <wp:effectExtent l="0" t="0" r="9525" b="14605"/>
            <wp:docPr id="9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2938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6EA4F82">
      <w:r>
        <w:t>关键问题：2月修复率下降，需关注缺陷闭环；蔡曼杭负责的项目缺陷数激增。</w:t>
      </w:r>
    </w:p>
    <w:p w14:paraId="4F0DB9CC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45760" cy="2194560"/>
            <wp:effectExtent l="0" t="0" r="2540" b="15240"/>
            <wp:docPr id="10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45760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133C14E">
      <w:pPr>
        <w:pStyle w:val="4"/>
      </w:pPr>
      <w:r>
        <w:t>（3）2025年3月</w:t>
      </w:r>
    </w:p>
    <w:p w14:paraId="39D297E4">
      <w:r>
        <w:t>【任务情况】</w:t>
      </w:r>
    </w:p>
    <w:p w14:paraId="196C25E1">
      <w:r>
        <w:t>总任务数：211（黄阳博65、蔡曼杭69、李怡铃77）</w:t>
      </w:r>
    </w:p>
    <w:p w14:paraId="2A9445D3">
      <w:r>
        <w:t>任务完成数：225（完成率106.6%）</w:t>
      </w:r>
    </w:p>
    <w:p w14:paraId="72129177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7510" cy="2851150"/>
            <wp:effectExtent l="0" t="0" r="8890" b="6350"/>
            <wp:docPr id="11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285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3A894B">
      <w:r>
        <w:t>【缺陷管理】</w:t>
      </w:r>
    </w:p>
    <w:p w14:paraId="1DDD117B">
      <w:r>
        <w:t>总发现缺陷数：561（黄阳博181、蔡曼杭182、李怡铃198）</w:t>
      </w:r>
    </w:p>
    <w:p w14:paraId="6559906B">
      <w:r>
        <w:t>总修复缺陷数：585（修复率104.3%，修复效率回升）</w:t>
      </w:r>
    </w:p>
    <w:p w14:paraId="6E30CF70">
      <w:r>
        <w:t>低级缺陷数：33（占5.9%，持续下降）</w:t>
      </w:r>
    </w:p>
    <w:p w14:paraId="5923DA96">
      <w:r>
        <w:t>主要问题：功能与需求不符或未实现（25例，占75.8%）、基础操作不可用（4例）</w:t>
      </w:r>
    </w:p>
    <w:p w14:paraId="0C798A8A">
      <w:r>
        <w:t>前三项目：西南大学（12例）、中国科学院脑科学与智能技术卓越创新中心（7例）、北京脑所（4例）</w:t>
      </w:r>
    </w:p>
    <w:p w14:paraId="5D51076A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57825" cy="2620010"/>
            <wp:effectExtent l="0" t="0" r="9525" b="8890"/>
            <wp:docPr id="12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2620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D03985B">
      <w:r>
        <w:t>关键问题：低级缺陷占比进一步降低，</w:t>
      </w:r>
      <w:r>
        <w:rPr>
          <w:rFonts w:hint="eastAsia" w:eastAsia="宋体"/>
          <w:lang w:val="en-US" w:eastAsia="zh-CN"/>
        </w:rPr>
        <w:t>开发质量有所提高</w:t>
      </w:r>
      <w:r>
        <w:t>，但功能需求不匹配依然突出；李怡铃负责的‘西南大学’项目低级缺陷骤增。</w:t>
      </w:r>
    </w:p>
    <w:p w14:paraId="53C9082D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4335" cy="2618740"/>
            <wp:effectExtent l="0" t="0" r="12065" b="10160"/>
            <wp:docPr id="13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4335" cy="2618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D05847A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86400" cy="3291840"/>
            <wp:effectExtent l="0" t="0" r="0" b="3810"/>
            <wp:docPr id="1" name="图片 1" descr="Figure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_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157EC">
      <w:pPr>
        <w:pStyle w:val="3"/>
      </w:pPr>
      <w:r>
        <w:t>四、跨月对比分析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728"/>
        <w:gridCol w:w="1728"/>
        <w:gridCol w:w="1728"/>
        <w:gridCol w:w="1728"/>
      </w:tblGrid>
      <w:tr w14:paraId="7281D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14F2ECAB">
            <w:pPr>
              <w:spacing w:after="0" w:line="240" w:lineRule="auto"/>
            </w:pPr>
            <w:r>
              <w:t>指标</w:t>
            </w:r>
          </w:p>
        </w:tc>
        <w:tc>
          <w:tcPr>
            <w:tcW w:w="1728" w:type="dxa"/>
          </w:tcPr>
          <w:p w14:paraId="403487C1">
            <w:pPr>
              <w:spacing w:after="0" w:line="240" w:lineRule="auto"/>
            </w:pPr>
            <w:r>
              <w:t>1月</w:t>
            </w:r>
          </w:p>
        </w:tc>
        <w:tc>
          <w:tcPr>
            <w:tcW w:w="1728" w:type="dxa"/>
          </w:tcPr>
          <w:p w14:paraId="2B3E1F82">
            <w:pPr>
              <w:spacing w:after="0" w:line="240" w:lineRule="auto"/>
            </w:pPr>
            <w:r>
              <w:t>2月</w:t>
            </w:r>
          </w:p>
        </w:tc>
        <w:tc>
          <w:tcPr>
            <w:tcW w:w="1728" w:type="dxa"/>
          </w:tcPr>
          <w:p w14:paraId="34813464">
            <w:pPr>
              <w:spacing w:after="0" w:line="240" w:lineRule="auto"/>
            </w:pPr>
            <w:r>
              <w:t>3月</w:t>
            </w:r>
          </w:p>
        </w:tc>
        <w:tc>
          <w:tcPr>
            <w:tcW w:w="1728" w:type="dxa"/>
          </w:tcPr>
          <w:p w14:paraId="5E20BCBD">
            <w:pPr>
              <w:spacing w:after="0" w:line="240" w:lineRule="auto"/>
            </w:pPr>
            <w:r>
              <w:t>趋势分析</w:t>
            </w:r>
          </w:p>
        </w:tc>
      </w:tr>
      <w:tr w14:paraId="59E37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3969BF21">
            <w:pPr>
              <w:spacing w:after="0" w:line="240" w:lineRule="auto"/>
            </w:pPr>
            <w:r>
              <w:t>总任务数 / 任务完成率 / 总缺陷数 / 低级缺陷占比 / 修复率</w:t>
            </w:r>
          </w:p>
        </w:tc>
        <w:tc>
          <w:tcPr>
            <w:tcW w:w="1728" w:type="dxa"/>
          </w:tcPr>
          <w:p w14:paraId="779805A3">
            <w:pPr>
              <w:spacing w:after="0" w:line="240" w:lineRule="auto"/>
            </w:pPr>
            <w:r>
              <w:t>257 / 113.6% / 561 / 12.8% / 115.3%</w:t>
            </w:r>
          </w:p>
        </w:tc>
        <w:tc>
          <w:tcPr>
            <w:tcW w:w="1728" w:type="dxa"/>
          </w:tcPr>
          <w:p w14:paraId="0081926A">
            <w:pPr>
              <w:spacing w:after="0" w:line="240" w:lineRule="auto"/>
            </w:pPr>
            <w:r>
              <w:t>187 / 104.3% / 587 / 7.7% / 98.3%</w:t>
            </w:r>
          </w:p>
        </w:tc>
        <w:tc>
          <w:tcPr>
            <w:tcW w:w="1728" w:type="dxa"/>
          </w:tcPr>
          <w:p w14:paraId="55A880D5">
            <w:pPr>
              <w:spacing w:after="0" w:line="240" w:lineRule="auto"/>
            </w:pPr>
            <w:r>
              <w:t>211 / 106.6% / 561 / 5.9% / 104.3%</w:t>
            </w:r>
          </w:p>
        </w:tc>
        <w:tc>
          <w:tcPr>
            <w:tcW w:w="1728" w:type="dxa"/>
          </w:tcPr>
          <w:p w14:paraId="5743F09D">
            <w:pPr>
              <w:spacing w:after="0" w:line="240" w:lineRule="auto"/>
            </w:pPr>
            <w:r>
              <w:t>2月下降，3月回升；整体完成率稳定；2月缺陷峰值，3月改善</w:t>
            </w:r>
          </w:p>
        </w:tc>
      </w:tr>
    </w:tbl>
    <w:p w14:paraId="7CD548F8">
      <w:pPr>
        <w:pStyle w:val="3"/>
      </w:pPr>
      <w:r>
        <w:t>五、测试人员绩效与深度分析</w:t>
      </w:r>
    </w:p>
    <w:p w14:paraId="0D36488C">
      <w:pPr>
        <w:pStyle w:val="4"/>
      </w:pPr>
      <w:r>
        <w:t>1. 缺陷发现与修复效率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440"/>
        <w:gridCol w:w="1440"/>
        <w:gridCol w:w="1440"/>
        <w:gridCol w:w="1440"/>
      </w:tblGrid>
      <w:tr w14:paraId="6FEAB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7C67D253">
            <w:pPr>
              <w:spacing w:after="0" w:line="240" w:lineRule="auto"/>
            </w:pPr>
            <w:r>
              <w:t>测试人</w:t>
            </w:r>
          </w:p>
        </w:tc>
        <w:tc>
          <w:tcPr>
            <w:tcW w:w="1440" w:type="dxa"/>
          </w:tcPr>
          <w:p w14:paraId="57F4E761">
            <w:pPr>
              <w:spacing w:after="0" w:line="240" w:lineRule="auto"/>
            </w:pPr>
            <w:r>
              <w:t>1月缺陷数（占比）</w:t>
            </w:r>
          </w:p>
        </w:tc>
        <w:tc>
          <w:tcPr>
            <w:tcW w:w="1440" w:type="dxa"/>
          </w:tcPr>
          <w:p w14:paraId="3099FBC7">
            <w:pPr>
              <w:spacing w:after="0" w:line="240" w:lineRule="auto"/>
            </w:pPr>
            <w:r>
              <w:t>2月缺陷数（占比）</w:t>
            </w:r>
          </w:p>
        </w:tc>
        <w:tc>
          <w:tcPr>
            <w:tcW w:w="1440" w:type="dxa"/>
          </w:tcPr>
          <w:p w14:paraId="46502B5E">
            <w:pPr>
              <w:spacing w:after="0" w:line="240" w:lineRule="auto"/>
            </w:pPr>
            <w:r>
              <w:t>3月缺陷数（占比）</w:t>
            </w:r>
          </w:p>
        </w:tc>
        <w:tc>
          <w:tcPr>
            <w:tcW w:w="1440" w:type="dxa"/>
          </w:tcPr>
          <w:p w14:paraId="4C88736B">
            <w:pPr>
              <w:spacing w:after="0" w:line="240" w:lineRule="auto"/>
            </w:pPr>
            <w:r>
              <w:t>修复率趋势</w:t>
            </w:r>
          </w:p>
        </w:tc>
        <w:tc>
          <w:tcPr>
            <w:tcW w:w="1440" w:type="dxa"/>
          </w:tcPr>
          <w:p w14:paraId="701CF322">
            <w:pPr>
              <w:spacing w:after="0" w:line="240" w:lineRule="auto"/>
            </w:pPr>
            <w:r>
              <w:t>关键问题</w:t>
            </w:r>
          </w:p>
        </w:tc>
      </w:tr>
      <w:tr w14:paraId="0D675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BD30F6C">
            <w:pPr>
              <w:spacing w:after="0" w:line="240" w:lineRule="auto"/>
            </w:pPr>
            <w:r>
              <w:t>黄阳博</w:t>
            </w:r>
          </w:p>
        </w:tc>
        <w:tc>
          <w:tcPr>
            <w:tcW w:w="1440" w:type="dxa"/>
          </w:tcPr>
          <w:p w14:paraId="6C5F31F2">
            <w:pPr>
              <w:spacing w:after="0" w:line="240" w:lineRule="auto"/>
            </w:pPr>
            <w:r>
              <w:t>186（33.2%）</w:t>
            </w:r>
          </w:p>
        </w:tc>
        <w:tc>
          <w:tcPr>
            <w:tcW w:w="1440" w:type="dxa"/>
          </w:tcPr>
          <w:p w14:paraId="6087AE7B">
            <w:pPr>
              <w:spacing w:after="0" w:line="240" w:lineRule="auto"/>
            </w:pPr>
            <w:r>
              <w:t>207（35.3%）</w:t>
            </w:r>
          </w:p>
        </w:tc>
        <w:tc>
          <w:tcPr>
            <w:tcW w:w="1440" w:type="dxa"/>
          </w:tcPr>
          <w:p w14:paraId="248A851D">
            <w:pPr>
              <w:spacing w:after="0" w:line="240" w:lineRule="auto"/>
            </w:pPr>
            <w:r>
              <w:t>181（32.3%）</w:t>
            </w:r>
          </w:p>
        </w:tc>
        <w:tc>
          <w:tcPr>
            <w:tcW w:w="1440" w:type="dxa"/>
          </w:tcPr>
          <w:p w14:paraId="19CBA480">
            <w:pPr>
              <w:spacing w:after="0" w:line="240" w:lineRule="auto"/>
            </w:pPr>
            <w:r>
              <w:t>1月115.3% → 3月104.3%</w:t>
            </w:r>
          </w:p>
        </w:tc>
        <w:tc>
          <w:tcPr>
            <w:tcW w:w="1440" w:type="dxa"/>
          </w:tcPr>
          <w:p w14:paraId="093CC3DE">
            <w:pPr>
              <w:spacing w:after="0" w:line="240" w:lineRule="auto"/>
            </w:pPr>
            <w:r>
              <w:t>2月修复率下降，任务分配需关注</w:t>
            </w:r>
          </w:p>
        </w:tc>
      </w:tr>
      <w:tr w14:paraId="6701C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5B27E17C">
            <w:pPr>
              <w:spacing w:after="0" w:line="240" w:lineRule="auto"/>
            </w:pPr>
            <w:r>
              <w:t>蔡曼杭</w:t>
            </w:r>
          </w:p>
        </w:tc>
        <w:tc>
          <w:tcPr>
            <w:tcW w:w="1440" w:type="dxa"/>
          </w:tcPr>
          <w:p w14:paraId="14FF995D">
            <w:pPr>
              <w:spacing w:after="0" w:line="240" w:lineRule="auto"/>
            </w:pPr>
            <w:r>
              <w:t>164（29.2%）</w:t>
            </w:r>
          </w:p>
        </w:tc>
        <w:tc>
          <w:tcPr>
            <w:tcW w:w="1440" w:type="dxa"/>
          </w:tcPr>
          <w:p w14:paraId="7FA1A160">
            <w:pPr>
              <w:spacing w:after="0" w:line="240" w:lineRule="auto"/>
            </w:pPr>
            <w:r>
              <w:t>184（31.3%）</w:t>
            </w:r>
          </w:p>
        </w:tc>
        <w:tc>
          <w:tcPr>
            <w:tcW w:w="1440" w:type="dxa"/>
          </w:tcPr>
          <w:p w14:paraId="0944EF23">
            <w:pPr>
              <w:spacing w:after="0" w:line="240" w:lineRule="auto"/>
            </w:pPr>
            <w:r>
              <w:t>182（32.4%）</w:t>
            </w:r>
          </w:p>
        </w:tc>
        <w:tc>
          <w:tcPr>
            <w:tcW w:w="1440" w:type="dxa"/>
          </w:tcPr>
          <w:p w14:paraId="3C50B678">
            <w:pPr>
              <w:spacing w:after="0" w:line="240" w:lineRule="auto"/>
            </w:pPr>
            <w:r>
              <w:t>波动较大</w:t>
            </w:r>
          </w:p>
        </w:tc>
        <w:tc>
          <w:tcPr>
            <w:tcW w:w="1440" w:type="dxa"/>
          </w:tcPr>
          <w:p w14:paraId="72989241">
            <w:pPr>
              <w:spacing w:after="0" w:line="240" w:lineRule="auto"/>
            </w:pPr>
            <w:r>
              <w:t>‘中国科学院脑科学与智能技术卓越创新中心’缺陷激增（2月98例）</w:t>
            </w:r>
          </w:p>
        </w:tc>
      </w:tr>
      <w:tr w14:paraId="0B927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08576B99">
            <w:pPr>
              <w:spacing w:after="0" w:line="240" w:lineRule="auto"/>
            </w:pPr>
            <w:r>
              <w:t>李怡铃</w:t>
            </w:r>
          </w:p>
        </w:tc>
        <w:tc>
          <w:tcPr>
            <w:tcW w:w="1440" w:type="dxa"/>
          </w:tcPr>
          <w:p w14:paraId="148107D4">
            <w:pPr>
              <w:spacing w:after="0" w:line="240" w:lineRule="auto"/>
            </w:pPr>
            <w:r>
              <w:t>211（37.6%）</w:t>
            </w:r>
          </w:p>
        </w:tc>
        <w:tc>
          <w:tcPr>
            <w:tcW w:w="1440" w:type="dxa"/>
          </w:tcPr>
          <w:p w14:paraId="0BF2D4D4">
            <w:pPr>
              <w:spacing w:after="0" w:line="240" w:lineRule="auto"/>
            </w:pPr>
            <w:r>
              <w:t>196（33.4%）</w:t>
            </w:r>
          </w:p>
        </w:tc>
        <w:tc>
          <w:tcPr>
            <w:tcW w:w="1440" w:type="dxa"/>
          </w:tcPr>
          <w:p w14:paraId="4EEA3A26">
            <w:pPr>
              <w:spacing w:after="0" w:line="240" w:lineRule="auto"/>
            </w:pPr>
            <w:r>
              <w:t>198（35.3%）</w:t>
            </w:r>
          </w:p>
        </w:tc>
        <w:tc>
          <w:tcPr>
            <w:tcW w:w="1440" w:type="dxa"/>
          </w:tcPr>
          <w:p w14:paraId="3FAC90D2">
            <w:pPr>
              <w:spacing w:after="0" w:line="240" w:lineRule="auto"/>
            </w:pPr>
            <w:r>
              <w:t>修复率稳定</w:t>
            </w:r>
          </w:p>
        </w:tc>
        <w:tc>
          <w:tcPr>
            <w:tcW w:w="1440" w:type="dxa"/>
          </w:tcPr>
          <w:p w14:paraId="3C429310">
            <w:pPr>
              <w:spacing w:after="0" w:line="240" w:lineRule="auto"/>
            </w:pPr>
            <w:r>
              <w:t>3月‘西南大学’低级缺陷骤增（12例）</w:t>
            </w:r>
          </w:p>
        </w:tc>
      </w:tr>
    </w:tbl>
    <w:p w14:paraId="51E909A9">
      <w:pPr>
        <w:pStyle w:val="4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516880" cy="3486785"/>
            <wp:effectExtent l="0" t="0" r="7620" b="18415"/>
            <wp:docPr id="2" name="图片 2" descr="Figure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_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16880" cy="348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022EC">
      <w:pPr>
        <w:pStyle w:val="4"/>
      </w:pPr>
      <w:r>
        <w:t>2. 低级缺陷责任分析</w:t>
      </w:r>
    </w:p>
    <w:p w14:paraId="673ACF48">
      <w:r>
        <w:t>黄阳博：</w:t>
      </w:r>
      <w:r>
        <w:br w:type="textWrapping"/>
      </w:r>
      <w:r>
        <w:t xml:space="preserve">  - 1月：负责“清华大学”项目低级缺陷2例（功能不符1例、设计缺陷1例）</w:t>
      </w:r>
      <w:r>
        <w:br w:type="textWrapping"/>
      </w:r>
      <w:r>
        <w:t xml:space="preserve">  - 3月：‘河北大学’项目低级缺陷1例（功能不符），需加强代码审查。</w:t>
      </w:r>
    </w:p>
    <w:p w14:paraId="74164E84">
      <w:r>
        <w:t>蔡曼杭：</w:t>
      </w:r>
      <w:r>
        <w:br w:type="textWrapping"/>
      </w:r>
      <w:r>
        <w:t xml:space="preserve">  - 2月：‘中国科学院脑科学与智能技术卓越创新中心’低级缺陷8例（100%功能不符），暴露需求</w:t>
      </w:r>
      <w:r>
        <w:rPr>
          <w:rFonts w:hint="eastAsia" w:eastAsia="宋体"/>
          <w:lang w:val="en-US" w:eastAsia="zh-CN"/>
        </w:rPr>
        <w:t>对齐不佳</w:t>
      </w:r>
      <w:r>
        <w:t>。</w:t>
      </w:r>
    </w:p>
    <w:p w14:paraId="196A4604">
      <w:r>
        <w:t>李怡铃：</w:t>
      </w:r>
      <w:r>
        <w:br w:type="textWrapping"/>
      </w:r>
      <w:r>
        <w:t xml:space="preserve">  - 3月：‘西南大学’低级缺陷12例（功能不符7例、设计缺陷2例、操作不可用3例），需专项测试覆盖。</w:t>
      </w:r>
    </w:p>
    <w:p w14:paraId="24BAD6B4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77510" cy="3211195"/>
            <wp:effectExtent l="0" t="0" r="8890" b="8255"/>
            <wp:docPr id="3" name="图片 3" descr="Figure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_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77510" cy="321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48510">
      <w:pPr>
        <w:pStyle w:val="3"/>
      </w:pPr>
      <w:r>
        <w:t>六、项目级缺陷专项分析</w:t>
      </w:r>
    </w:p>
    <w:p w14:paraId="398FD64B">
      <w:pPr>
        <w:pStyle w:val="4"/>
      </w:pPr>
      <w:r>
        <w:t>1. 高频缺陷项目对比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440"/>
        <w:gridCol w:w="1440"/>
        <w:gridCol w:w="1440"/>
        <w:gridCol w:w="1440"/>
      </w:tblGrid>
      <w:tr w14:paraId="00775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279DC57">
            <w:pPr>
              <w:spacing w:after="0" w:line="240" w:lineRule="auto"/>
            </w:pPr>
            <w:r>
              <w:t>项目名称</w:t>
            </w:r>
          </w:p>
        </w:tc>
        <w:tc>
          <w:tcPr>
            <w:tcW w:w="1440" w:type="dxa"/>
          </w:tcPr>
          <w:p w14:paraId="4E78C7C2">
            <w:pPr>
              <w:spacing w:after="0" w:line="240" w:lineRule="auto"/>
            </w:pPr>
            <w:r>
              <w:t>1月缺陷数</w:t>
            </w:r>
          </w:p>
        </w:tc>
        <w:tc>
          <w:tcPr>
            <w:tcW w:w="1440" w:type="dxa"/>
          </w:tcPr>
          <w:p w14:paraId="22A953CF">
            <w:pPr>
              <w:spacing w:after="0" w:line="240" w:lineRule="auto"/>
            </w:pPr>
            <w:r>
              <w:t>2月缺陷数</w:t>
            </w:r>
          </w:p>
        </w:tc>
        <w:tc>
          <w:tcPr>
            <w:tcW w:w="1440" w:type="dxa"/>
          </w:tcPr>
          <w:p w14:paraId="79506AC1">
            <w:pPr>
              <w:spacing w:after="0" w:line="240" w:lineRule="auto"/>
            </w:pPr>
            <w:r>
              <w:t>3月缺陷数</w:t>
            </w:r>
          </w:p>
        </w:tc>
        <w:tc>
          <w:tcPr>
            <w:tcW w:w="1440" w:type="dxa"/>
          </w:tcPr>
          <w:p w14:paraId="34E04E7D">
            <w:pPr>
              <w:spacing w:after="0" w:line="240" w:lineRule="auto"/>
            </w:pPr>
            <w:r>
              <w:t>主要问题类型</w:t>
            </w:r>
          </w:p>
        </w:tc>
        <w:tc>
          <w:tcPr>
            <w:tcW w:w="1440" w:type="dxa"/>
          </w:tcPr>
          <w:p w14:paraId="4E4909BC">
            <w:pPr>
              <w:spacing w:after="0" w:line="240" w:lineRule="auto"/>
            </w:pPr>
            <w:r>
              <w:t>开发责任人</w:t>
            </w:r>
          </w:p>
        </w:tc>
      </w:tr>
      <w:tr w14:paraId="25F07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34B07B5F">
            <w:pPr>
              <w:spacing w:after="0" w:line="240" w:lineRule="auto"/>
            </w:pPr>
            <w:r>
              <w:t>爱尔眼科</w:t>
            </w:r>
          </w:p>
        </w:tc>
        <w:tc>
          <w:tcPr>
            <w:tcW w:w="1440" w:type="dxa"/>
          </w:tcPr>
          <w:p w14:paraId="628792B8">
            <w:pPr>
              <w:spacing w:after="0" w:line="240" w:lineRule="auto"/>
            </w:pPr>
            <w:r>
              <w:t>87（排名1）</w:t>
            </w:r>
          </w:p>
        </w:tc>
        <w:tc>
          <w:tcPr>
            <w:tcW w:w="1440" w:type="dxa"/>
          </w:tcPr>
          <w:p w14:paraId="118C8C84">
            <w:pPr>
              <w:spacing w:after="0" w:line="240" w:lineRule="auto"/>
            </w:pPr>
            <w:r>
              <w:t>71（排名3）</w:t>
            </w:r>
          </w:p>
        </w:tc>
        <w:tc>
          <w:tcPr>
            <w:tcW w:w="1440" w:type="dxa"/>
          </w:tcPr>
          <w:p w14:paraId="6AF53717">
            <w:pPr>
              <w:spacing w:after="0" w:line="240" w:lineRule="auto"/>
            </w:pPr>
            <w:r>
              <w:t>10</w:t>
            </w:r>
          </w:p>
        </w:tc>
        <w:tc>
          <w:tcPr>
            <w:tcW w:w="1440" w:type="dxa"/>
          </w:tcPr>
          <w:p w14:paraId="3EA5B2DF">
            <w:pPr>
              <w:spacing w:after="0" w:line="240" w:lineRule="auto"/>
            </w:pPr>
            <w:r>
              <w:t>功能不符（1月16例）、设计缺陷</w:t>
            </w:r>
          </w:p>
        </w:tc>
        <w:tc>
          <w:tcPr>
            <w:tcW w:w="1440" w:type="dxa"/>
          </w:tcPr>
          <w:p w14:paraId="2A2A6304">
            <w:pPr>
              <w:spacing w:after="0" w:line="240" w:lineRule="auto"/>
            </w:pPr>
            <w:r>
              <w:t>苏佳苗、唐晓旭</w:t>
            </w:r>
          </w:p>
        </w:tc>
      </w:tr>
      <w:tr w14:paraId="66F1C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2816CA84">
            <w:pPr>
              <w:spacing w:after="0" w:line="240" w:lineRule="auto"/>
            </w:pPr>
            <w:r>
              <w:t>中国科学院脑科学与智能技术卓越创新中心</w:t>
            </w:r>
          </w:p>
        </w:tc>
        <w:tc>
          <w:tcPr>
            <w:tcW w:w="1440" w:type="dxa"/>
          </w:tcPr>
          <w:p w14:paraId="1352C08C">
            <w:pPr>
              <w:spacing w:after="0" w:line="240" w:lineRule="auto"/>
            </w:pPr>
            <w:r>
              <w:t>18</w:t>
            </w:r>
          </w:p>
        </w:tc>
        <w:tc>
          <w:tcPr>
            <w:tcW w:w="1440" w:type="dxa"/>
          </w:tcPr>
          <w:p w14:paraId="590EE4D6">
            <w:pPr>
              <w:spacing w:after="0" w:line="240" w:lineRule="auto"/>
            </w:pPr>
            <w:r>
              <w:t>98（排名1）</w:t>
            </w:r>
          </w:p>
        </w:tc>
        <w:tc>
          <w:tcPr>
            <w:tcW w:w="1440" w:type="dxa"/>
          </w:tcPr>
          <w:p w14:paraId="5514C2E4">
            <w:pPr>
              <w:spacing w:after="0" w:line="240" w:lineRule="auto"/>
            </w:pPr>
            <w:r>
              <w:t>105（排名1）</w:t>
            </w:r>
          </w:p>
        </w:tc>
        <w:tc>
          <w:tcPr>
            <w:tcW w:w="1440" w:type="dxa"/>
          </w:tcPr>
          <w:p w14:paraId="610385B8">
            <w:pPr>
              <w:spacing w:after="0" w:line="240" w:lineRule="auto"/>
            </w:pPr>
            <w:r>
              <w:t>功能不符（2月8例、3月7例）</w:t>
            </w:r>
          </w:p>
        </w:tc>
        <w:tc>
          <w:tcPr>
            <w:tcW w:w="1440" w:type="dxa"/>
          </w:tcPr>
          <w:p w14:paraId="4076FBD7">
            <w:pPr>
              <w:spacing w:after="0" w:line="240" w:lineRule="auto"/>
            </w:pPr>
            <w:r>
              <w:t>潘建标、苏佳苗、张伟森</w:t>
            </w:r>
          </w:p>
        </w:tc>
      </w:tr>
      <w:tr w14:paraId="0BF6E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 w14:paraId="11BF0C17">
            <w:pPr>
              <w:spacing w:after="0" w:line="240" w:lineRule="auto"/>
            </w:pPr>
            <w:r>
              <w:t>西南大学</w:t>
            </w:r>
          </w:p>
        </w:tc>
        <w:tc>
          <w:tcPr>
            <w:tcW w:w="1440" w:type="dxa"/>
          </w:tcPr>
          <w:p w14:paraId="577A5E30">
            <w:pPr>
              <w:spacing w:after="0" w:line="240" w:lineRule="auto"/>
            </w:pPr>
            <w:r>
              <w:t>4</w:t>
            </w:r>
          </w:p>
        </w:tc>
        <w:tc>
          <w:tcPr>
            <w:tcW w:w="1440" w:type="dxa"/>
          </w:tcPr>
          <w:p w14:paraId="6A1DDEE5">
            <w:pPr>
              <w:spacing w:after="0" w:line="240" w:lineRule="auto"/>
            </w:pPr>
            <w:r>
              <w:t>0</w:t>
            </w:r>
          </w:p>
        </w:tc>
        <w:tc>
          <w:tcPr>
            <w:tcW w:w="1440" w:type="dxa"/>
          </w:tcPr>
          <w:p w14:paraId="28AA0D1F">
            <w:pPr>
              <w:spacing w:after="0" w:line="240" w:lineRule="auto"/>
            </w:pPr>
            <w:r>
              <w:t>74（排名3）</w:t>
            </w:r>
          </w:p>
        </w:tc>
        <w:tc>
          <w:tcPr>
            <w:tcW w:w="1440" w:type="dxa"/>
          </w:tcPr>
          <w:p w14:paraId="2136F47B">
            <w:pPr>
              <w:spacing w:after="0" w:line="240" w:lineRule="auto"/>
            </w:pPr>
            <w:r>
              <w:t>功能不符、操作不可用</w:t>
            </w:r>
          </w:p>
        </w:tc>
        <w:tc>
          <w:tcPr>
            <w:tcW w:w="1440" w:type="dxa"/>
          </w:tcPr>
          <w:p w14:paraId="595F9DC0">
            <w:pPr>
              <w:spacing w:after="0" w:line="240" w:lineRule="auto"/>
            </w:pPr>
            <w:r>
              <w:t>潘建标、郑志俊</w:t>
            </w:r>
          </w:p>
        </w:tc>
      </w:tr>
    </w:tbl>
    <w:p w14:paraId="4D0FBCAC">
      <w:pPr>
        <w:pStyle w:val="4"/>
      </w:pPr>
      <w:r>
        <w:t>2. 低级缺陷类型分布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728"/>
        <w:gridCol w:w="1728"/>
        <w:gridCol w:w="1728"/>
        <w:gridCol w:w="1728"/>
      </w:tblGrid>
      <w:tr w14:paraId="63E17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444AFC31">
            <w:pPr>
              <w:spacing w:after="0" w:line="240" w:lineRule="auto"/>
            </w:pPr>
            <w:r>
              <w:t>缺陷类型</w:t>
            </w:r>
          </w:p>
        </w:tc>
        <w:tc>
          <w:tcPr>
            <w:tcW w:w="1728" w:type="dxa"/>
          </w:tcPr>
          <w:p w14:paraId="53916F65">
            <w:pPr>
              <w:spacing w:after="0" w:line="240" w:lineRule="auto"/>
            </w:pPr>
            <w:r>
              <w:t>1月</w:t>
            </w:r>
          </w:p>
        </w:tc>
        <w:tc>
          <w:tcPr>
            <w:tcW w:w="1728" w:type="dxa"/>
          </w:tcPr>
          <w:p w14:paraId="72969CE5">
            <w:pPr>
              <w:spacing w:after="0" w:line="240" w:lineRule="auto"/>
            </w:pPr>
            <w:r>
              <w:t>2月</w:t>
            </w:r>
          </w:p>
        </w:tc>
        <w:tc>
          <w:tcPr>
            <w:tcW w:w="1728" w:type="dxa"/>
          </w:tcPr>
          <w:p w14:paraId="740CED70">
            <w:pPr>
              <w:spacing w:after="0" w:line="240" w:lineRule="auto"/>
            </w:pPr>
            <w:r>
              <w:t>3月</w:t>
            </w:r>
          </w:p>
        </w:tc>
        <w:tc>
          <w:tcPr>
            <w:tcW w:w="1728" w:type="dxa"/>
          </w:tcPr>
          <w:p w14:paraId="723EFAC3">
            <w:pPr>
              <w:spacing w:after="0" w:line="240" w:lineRule="auto"/>
            </w:pPr>
            <w:r>
              <w:t>趋势</w:t>
            </w:r>
          </w:p>
        </w:tc>
      </w:tr>
      <w:tr w14:paraId="125AA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099A453D">
            <w:pPr>
              <w:spacing w:after="0" w:line="240" w:lineRule="auto"/>
            </w:pPr>
            <w:r>
              <w:t>功能与需求不符或未实现</w:t>
            </w:r>
          </w:p>
        </w:tc>
        <w:tc>
          <w:tcPr>
            <w:tcW w:w="1728" w:type="dxa"/>
          </w:tcPr>
          <w:p w14:paraId="356EA529">
            <w:pPr>
              <w:spacing w:after="0" w:line="240" w:lineRule="auto"/>
            </w:pPr>
            <w:r>
              <w:t>62</w:t>
            </w:r>
          </w:p>
        </w:tc>
        <w:tc>
          <w:tcPr>
            <w:tcW w:w="1728" w:type="dxa"/>
          </w:tcPr>
          <w:p w14:paraId="3DEC554E">
            <w:pPr>
              <w:spacing w:after="0" w:line="240" w:lineRule="auto"/>
            </w:pPr>
            <w:r>
              <w:t>40</w:t>
            </w:r>
          </w:p>
        </w:tc>
        <w:tc>
          <w:tcPr>
            <w:tcW w:w="1728" w:type="dxa"/>
          </w:tcPr>
          <w:p w14:paraId="0FB8BD0D">
            <w:pPr>
              <w:spacing w:after="0" w:line="240" w:lineRule="auto"/>
            </w:pPr>
            <w:r>
              <w:t>25</w:t>
            </w:r>
          </w:p>
        </w:tc>
        <w:tc>
          <w:tcPr>
            <w:tcW w:w="1728" w:type="dxa"/>
          </w:tcPr>
          <w:p w14:paraId="73015D0C">
            <w:pPr>
              <w:spacing w:after="0" w:line="240" w:lineRule="auto"/>
            </w:pPr>
            <w:r>
              <w:t>逐步改善，但仍为核心问题</w:t>
            </w:r>
          </w:p>
        </w:tc>
      </w:tr>
      <w:tr w14:paraId="0111A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7CC93C55">
            <w:pPr>
              <w:spacing w:after="0" w:line="240" w:lineRule="auto"/>
            </w:pPr>
            <w:r>
              <w:t>基础UI错误</w:t>
            </w:r>
          </w:p>
        </w:tc>
        <w:tc>
          <w:tcPr>
            <w:tcW w:w="1728" w:type="dxa"/>
          </w:tcPr>
          <w:p w14:paraId="75C3BA3D">
            <w:pPr>
              <w:spacing w:after="0" w:line="240" w:lineRule="auto"/>
            </w:pPr>
            <w:r>
              <w:t>1</w:t>
            </w:r>
          </w:p>
        </w:tc>
        <w:tc>
          <w:tcPr>
            <w:tcW w:w="1728" w:type="dxa"/>
          </w:tcPr>
          <w:p w14:paraId="34B5522E">
            <w:pPr>
              <w:spacing w:after="0" w:line="240" w:lineRule="auto"/>
            </w:pPr>
            <w:r>
              <w:t>0</w:t>
            </w:r>
          </w:p>
        </w:tc>
        <w:tc>
          <w:tcPr>
            <w:tcW w:w="1728" w:type="dxa"/>
          </w:tcPr>
          <w:p w14:paraId="4C487A8A">
            <w:pPr>
              <w:spacing w:after="0" w:line="240" w:lineRule="auto"/>
            </w:pPr>
            <w:r>
              <w:t>0</w:t>
            </w:r>
          </w:p>
        </w:tc>
        <w:tc>
          <w:tcPr>
            <w:tcW w:w="1728" w:type="dxa"/>
          </w:tcPr>
          <w:p w14:paraId="3E46C339">
            <w:pPr>
              <w:spacing w:after="0" w:line="240" w:lineRule="auto"/>
            </w:pPr>
            <w:r>
              <w:t>已基本解决</w:t>
            </w:r>
          </w:p>
        </w:tc>
      </w:tr>
      <w:tr w14:paraId="71F8D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673784B1">
            <w:pPr>
              <w:spacing w:after="0" w:line="240" w:lineRule="auto"/>
            </w:pPr>
            <w:r>
              <w:t>设计缺陷</w:t>
            </w:r>
          </w:p>
        </w:tc>
        <w:tc>
          <w:tcPr>
            <w:tcW w:w="1728" w:type="dxa"/>
          </w:tcPr>
          <w:p w14:paraId="4BE038E9">
            <w:pPr>
              <w:spacing w:after="0" w:line="240" w:lineRule="auto"/>
            </w:pPr>
            <w:r>
              <w:t>4</w:t>
            </w:r>
          </w:p>
        </w:tc>
        <w:tc>
          <w:tcPr>
            <w:tcW w:w="1728" w:type="dxa"/>
          </w:tcPr>
          <w:p w14:paraId="361A9F35">
            <w:pPr>
              <w:spacing w:after="0" w:line="240" w:lineRule="auto"/>
            </w:pPr>
            <w:r>
              <w:t>1</w:t>
            </w:r>
          </w:p>
        </w:tc>
        <w:tc>
          <w:tcPr>
            <w:tcW w:w="1728" w:type="dxa"/>
          </w:tcPr>
          <w:p w14:paraId="4D679E0B">
            <w:pPr>
              <w:spacing w:after="0" w:line="240" w:lineRule="auto"/>
            </w:pPr>
            <w:r>
              <w:t>4</w:t>
            </w:r>
          </w:p>
        </w:tc>
        <w:tc>
          <w:tcPr>
            <w:tcW w:w="1728" w:type="dxa"/>
          </w:tcPr>
          <w:p w14:paraId="7AA116B3">
            <w:pPr>
              <w:spacing w:after="0" w:line="240" w:lineRule="auto"/>
            </w:pPr>
            <w:r>
              <w:t>波动需关注</w:t>
            </w:r>
          </w:p>
        </w:tc>
      </w:tr>
      <w:tr w14:paraId="2D299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0D9BA7BA">
            <w:pPr>
              <w:spacing w:after="0" w:line="240" w:lineRule="auto"/>
            </w:pPr>
            <w:r>
              <w:t>基础操作不可用</w:t>
            </w:r>
          </w:p>
        </w:tc>
        <w:tc>
          <w:tcPr>
            <w:tcW w:w="1728" w:type="dxa"/>
          </w:tcPr>
          <w:p w14:paraId="549E379D">
            <w:pPr>
              <w:spacing w:after="0" w:line="240" w:lineRule="auto"/>
            </w:pPr>
            <w:r>
              <w:t>5</w:t>
            </w:r>
          </w:p>
        </w:tc>
        <w:tc>
          <w:tcPr>
            <w:tcW w:w="1728" w:type="dxa"/>
          </w:tcPr>
          <w:p w14:paraId="10DBF2DF">
            <w:pPr>
              <w:spacing w:after="0" w:line="240" w:lineRule="auto"/>
            </w:pPr>
            <w:r>
              <w:t>1</w:t>
            </w:r>
          </w:p>
        </w:tc>
        <w:tc>
          <w:tcPr>
            <w:tcW w:w="1728" w:type="dxa"/>
          </w:tcPr>
          <w:p w14:paraId="01C51867">
            <w:pPr>
              <w:spacing w:after="0" w:line="240" w:lineRule="auto"/>
            </w:pPr>
            <w:r>
              <w:t>4</w:t>
            </w:r>
          </w:p>
        </w:tc>
        <w:tc>
          <w:tcPr>
            <w:tcW w:w="1728" w:type="dxa"/>
          </w:tcPr>
          <w:p w14:paraId="26697D6E">
            <w:pPr>
              <w:spacing w:after="0" w:line="240" w:lineRule="auto"/>
            </w:pPr>
            <w:r>
              <w:t>3月反弹，需优化交互测试</w:t>
            </w:r>
          </w:p>
        </w:tc>
      </w:tr>
    </w:tbl>
    <w:p w14:paraId="4D55A3E6">
      <w:pPr>
        <w:pStyle w:val="3"/>
      </w:pPr>
      <w:r>
        <w:t>七、开发与测试协同分析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728"/>
        <w:gridCol w:w="1728"/>
        <w:gridCol w:w="1728"/>
        <w:gridCol w:w="1728"/>
      </w:tblGrid>
      <w:tr w14:paraId="52765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13C2D700">
            <w:pPr>
              <w:spacing w:after="0" w:line="240" w:lineRule="auto"/>
            </w:pPr>
            <w:r>
              <w:t>开发人员</w:t>
            </w:r>
          </w:p>
        </w:tc>
        <w:tc>
          <w:tcPr>
            <w:tcW w:w="1728" w:type="dxa"/>
          </w:tcPr>
          <w:p w14:paraId="7C7A0134">
            <w:pPr>
              <w:spacing w:after="0" w:line="240" w:lineRule="auto"/>
            </w:pPr>
            <w:r>
              <w:t>关联项目</w:t>
            </w:r>
          </w:p>
        </w:tc>
        <w:tc>
          <w:tcPr>
            <w:tcW w:w="1728" w:type="dxa"/>
          </w:tcPr>
          <w:p w14:paraId="34270523">
            <w:pPr>
              <w:spacing w:after="0" w:line="240" w:lineRule="auto"/>
            </w:pPr>
            <w:r>
              <w:t>低级缺陷数（Q1）</w:t>
            </w:r>
          </w:p>
        </w:tc>
        <w:tc>
          <w:tcPr>
            <w:tcW w:w="1728" w:type="dxa"/>
          </w:tcPr>
          <w:p w14:paraId="7286E2F2">
            <w:pPr>
              <w:spacing w:after="0" w:line="240" w:lineRule="auto"/>
            </w:pPr>
            <w:r>
              <w:t>主要问题类型</w:t>
            </w:r>
          </w:p>
        </w:tc>
        <w:tc>
          <w:tcPr>
            <w:tcW w:w="1728" w:type="dxa"/>
          </w:tcPr>
          <w:p w14:paraId="629ED7A9">
            <w:pPr>
              <w:spacing w:after="0" w:line="240" w:lineRule="auto"/>
            </w:pPr>
            <w:r>
              <w:t>改进建议</w:t>
            </w:r>
          </w:p>
        </w:tc>
      </w:tr>
      <w:tr w14:paraId="489C8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520642FD">
            <w:pPr>
              <w:spacing w:after="0" w:line="240" w:lineRule="auto"/>
            </w:pPr>
            <w:r>
              <w:t>苏佳苗</w:t>
            </w:r>
          </w:p>
        </w:tc>
        <w:tc>
          <w:tcPr>
            <w:tcW w:w="1728" w:type="dxa"/>
          </w:tcPr>
          <w:p w14:paraId="19A795DD">
            <w:pPr>
              <w:spacing w:after="0" w:line="240" w:lineRule="auto"/>
            </w:pPr>
            <w:r>
              <w:t>爱尔眼科、中国科学院脑科学与智能技术卓越创新中心</w:t>
            </w:r>
          </w:p>
        </w:tc>
        <w:tc>
          <w:tcPr>
            <w:tcW w:w="1728" w:type="dxa"/>
          </w:tcPr>
          <w:p w14:paraId="41378502">
            <w:pPr>
              <w:spacing w:after="0" w:line="240" w:lineRule="auto"/>
            </w:pPr>
            <w:r>
              <w:t>28</w:t>
            </w:r>
          </w:p>
        </w:tc>
        <w:tc>
          <w:tcPr>
            <w:tcW w:w="1728" w:type="dxa"/>
          </w:tcPr>
          <w:p w14:paraId="545D1A79">
            <w:pPr>
              <w:spacing w:after="0" w:line="240" w:lineRule="auto"/>
            </w:pPr>
            <w:r>
              <w:t>功能不符（24例）</w:t>
            </w:r>
          </w:p>
        </w:tc>
        <w:tc>
          <w:tcPr>
            <w:tcW w:w="1728" w:type="dxa"/>
          </w:tcPr>
          <w:p w14:paraId="54D3F5BE">
            <w:pPr>
              <w:spacing w:after="0" w:line="240" w:lineRule="auto"/>
            </w:pPr>
            <w:r>
              <w:t>加强需求文档确认</w:t>
            </w:r>
          </w:p>
        </w:tc>
      </w:tr>
      <w:tr w14:paraId="27A21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52228BAF">
            <w:pPr>
              <w:spacing w:after="0" w:line="240" w:lineRule="auto"/>
            </w:pPr>
            <w:r>
              <w:t>黄辉达</w:t>
            </w:r>
          </w:p>
        </w:tc>
        <w:tc>
          <w:tcPr>
            <w:tcW w:w="1728" w:type="dxa"/>
          </w:tcPr>
          <w:p w14:paraId="3ACD6A89">
            <w:pPr>
              <w:spacing w:after="0" w:line="240" w:lineRule="auto"/>
            </w:pPr>
            <w:r>
              <w:t>仪器相关、福建中医药大学</w:t>
            </w:r>
          </w:p>
        </w:tc>
        <w:tc>
          <w:tcPr>
            <w:tcW w:w="1728" w:type="dxa"/>
          </w:tcPr>
          <w:p w14:paraId="330E0D36">
            <w:pPr>
              <w:spacing w:after="0" w:line="240" w:lineRule="auto"/>
            </w:pPr>
            <w:r>
              <w:t>10</w:t>
            </w:r>
          </w:p>
        </w:tc>
        <w:tc>
          <w:tcPr>
            <w:tcW w:w="1728" w:type="dxa"/>
          </w:tcPr>
          <w:p w14:paraId="341D329B">
            <w:pPr>
              <w:spacing w:after="0" w:line="240" w:lineRule="auto"/>
            </w:pPr>
            <w:r>
              <w:t>功能不符（8例）</w:t>
            </w:r>
          </w:p>
        </w:tc>
        <w:tc>
          <w:tcPr>
            <w:tcW w:w="1728" w:type="dxa"/>
          </w:tcPr>
          <w:p w14:paraId="299B4BA9">
            <w:pPr>
              <w:spacing w:after="0" w:line="240" w:lineRule="auto"/>
            </w:pPr>
            <w:r>
              <w:t>增加单元测试覆盖率</w:t>
            </w:r>
          </w:p>
        </w:tc>
      </w:tr>
      <w:tr w14:paraId="1A485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0B6F66CD">
            <w:pPr>
              <w:spacing w:after="0" w:line="240" w:lineRule="auto"/>
            </w:pPr>
            <w:r>
              <w:t>郑志俊</w:t>
            </w:r>
          </w:p>
        </w:tc>
        <w:tc>
          <w:tcPr>
            <w:tcW w:w="1728" w:type="dxa"/>
          </w:tcPr>
          <w:p w14:paraId="2EE8F751">
            <w:pPr>
              <w:spacing w:after="0" w:line="240" w:lineRule="auto"/>
            </w:pPr>
            <w:r>
              <w:t>西南大学、南京鼓楼医院</w:t>
            </w:r>
          </w:p>
        </w:tc>
        <w:tc>
          <w:tcPr>
            <w:tcW w:w="1728" w:type="dxa"/>
          </w:tcPr>
          <w:p w14:paraId="377105E5">
            <w:pPr>
              <w:spacing w:after="0" w:line="240" w:lineRule="auto"/>
            </w:pPr>
            <w:r>
              <w:t>9</w:t>
            </w:r>
          </w:p>
        </w:tc>
        <w:tc>
          <w:tcPr>
            <w:tcW w:w="1728" w:type="dxa"/>
          </w:tcPr>
          <w:p w14:paraId="5B485649">
            <w:pPr>
              <w:spacing w:after="0" w:line="240" w:lineRule="auto"/>
            </w:pPr>
            <w:r>
              <w:t>操作不可用（5例）</w:t>
            </w:r>
          </w:p>
        </w:tc>
        <w:tc>
          <w:tcPr>
            <w:tcW w:w="1728" w:type="dxa"/>
          </w:tcPr>
          <w:p w14:paraId="637F812C">
            <w:pPr>
              <w:spacing w:after="0" w:line="240" w:lineRule="auto"/>
            </w:pPr>
            <w:r>
              <w:t>优化异常处理逻辑</w:t>
            </w:r>
          </w:p>
        </w:tc>
      </w:tr>
    </w:tbl>
    <w:p w14:paraId="18124806">
      <w:pPr>
        <w:pStyle w:val="3"/>
      </w:pPr>
      <w:r>
        <w:t>八、其他关键数据补充</w:t>
      </w:r>
    </w:p>
    <w:p w14:paraId="08A0881A">
      <w:r>
        <w:t>【回归缺陷分析】</w:t>
      </w:r>
    </w:p>
    <w:p w14:paraId="2ABFDEC6">
      <w:r>
        <w:t>2月回归缺陷率最高（29/577=5.0%），主要因“中国科学院脑科学与智能技术卓越创新中心”修复不彻底；3月回归缺陷率降至3.8%（22/585），改进显著。</w:t>
      </w:r>
    </w:p>
    <w:p w14:paraId="4005E309">
      <w:r>
        <w:t>【操作手册与安全验证】</w:t>
      </w:r>
    </w:p>
    <w:p w14:paraId="045FB5F2">
      <w:r>
        <w:t>操作手册数量：1月3份，2月5份，3月3份（需标准化文档管理流程）。</w:t>
      </w:r>
      <w:r>
        <w:br w:type="textWrapping"/>
      </w:r>
      <w:r>
        <w:t>安全验证项目：由1月的3个降至3月的0个。</w:t>
      </w:r>
    </w:p>
    <w:p w14:paraId="1B49A175">
      <w:pPr>
        <w:pStyle w:val="3"/>
      </w:pPr>
      <w:r>
        <w:t>九、核心问题与改进建议</w:t>
      </w:r>
    </w:p>
    <w:p w14:paraId="75063845">
      <w:r>
        <w:t>【核心问题】</w:t>
      </w:r>
    </w:p>
    <w:p w14:paraId="5907F6E6">
      <w:r>
        <w:t>1. 需求管理不足：功能与需求不符或未实现的缺陷占比较高，需优化需求评审流程。</w:t>
      </w:r>
      <w:r>
        <w:br w:type="textWrapping"/>
      </w:r>
      <w:r>
        <w:t>2. 开发与测试协调问题：部分关键项目缺陷高发，开发团队需介入根因分析。</w:t>
      </w:r>
      <w:r>
        <w:br w:type="textWrapping"/>
      </w:r>
      <w:r>
        <w:t>3. 回归缺陷管理：2月回归缺陷率较高，需加强回归测试覆盖。</w:t>
      </w:r>
    </w:p>
    <w:p w14:paraId="7D41B45A">
      <w:r>
        <w:t>【改进建议与行动计划】</w:t>
      </w:r>
    </w:p>
    <w:p w14:paraId="6034902C">
      <w:r>
        <w:t>1. 强化需求评审，实施需求文档版本控制，并设立三方确认机制</w:t>
      </w:r>
      <w:r>
        <w:rPr>
          <w:rFonts w:hint="eastAsia" w:eastAsia="宋体"/>
          <w:lang w:eastAsia="zh-CN"/>
        </w:rPr>
        <w:t>，</w:t>
      </w:r>
      <w:r>
        <w:rPr>
          <w:rFonts w:hint="eastAsia" w:eastAsia="宋体"/>
          <w:lang w:val="en-US" w:eastAsia="zh-CN"/>
        </w:rPr>
        <w:t>避免两方沟通，第三方沉默</w:t>
      </w:r>
      <w:r>
        <w:t>；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0DEC6FDD"/>
    <w:rsid w:val="34EA0DFB"/>
    <w:rsid w:val="3CD94A35"/>
    <w:rsid w:val="5F1F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qFormat="1" w:uiPriority="99" w:semiHidden="0" w:name="List Number"/>
    <w:lsdException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宋体" w:hAnsi="宋体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numbering" Target="numbering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2292</Words>
  <Characters>2642</Characters>
  <Lines>0</Lines>
  <Paragraphs>0</Paragraphs>
  <TotalTime>6</TotalTime>
  <ScaleCrop>false</ScaleCrop>
  <LinksUpToDate>false</LinksUpToDate>
  <CharactersWithSpaces>2716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KK努力上岸ing</cp:lastModifiedBy>
  <dcterms:modified xsi:type="dcterms:W3CDTF">2025-03-31T09:52:22Z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eyJoZGlkIjoiN2JhMDRmODRmZjQ0MGFmMTFlOTMzYTdjNzFlYzI0NjkiLCJ1c2VySWQiOiI3ODgwOTkxODUifQ==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D026D7B11A914692946D0547811A6D92_12</vt:lpwstr>
  </property>
</Properties>
</file>